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微软雅黑" w:hAnsi="微软雅黑" w:eastAsia="微软雅黑" w:cs="微软雅黑"/>
          <w:b w:val="0"/>
          <w:bCs w:val="0"/>
          <w:sz w:val="30"/>
          <w:lang w:eastAsia="zh-CN"/>
        </w:rPr>
      </w:pPr>
      <w:bookmarkStart w:id="0" w:name="_Toc24724714"/>
    </w:p>
    <w:p>
      <w:pPr>
        <w:spacing w:line="1520" w:lineRule="exact"/>
        <w:jc w:val="center"/>
        <w:rPr>
          <w:rFonts w:hint="eastAsia" w:ascii="微软雅黑" w:hAnsi="微软雅黑" w:eastAsia="微软雅黑" w:cs="微软雅黑"/>
          <w:b w:val="0"/>
          <w:bCs w:val="0"/>
          <w:sz w:val="30"/>
          <w:lang w:eastAsia="zh-CN"/>
        </w:rPr>
      </w:pPr>
      <w:r>
        <w:rPr>
          <w:rFonts w:hint="eastAsia" w:ascii="华文中宋" w:hAnsi="华文中宋" w:eastAsia="华文中宋"/>
          <w:spacing w:val="20"/>
          <w:sz w:val="72"/>
          <w:szCs w:val="72"/>
          <w:lang w:val="en-US" w:eastAsia="zh-CN"/>
        </w:rPr>
        <w:t>兴安县自然资源局</w:t>
      </w:r>
      <w:r>
        <w:rPr>
          <w:rFonts w:hint="eastAsia" w:ascii="华文中宋" w:hAnsi="华文中宋" w:eastAsia="华文中宋"/>
          <w:spacing w:val="20"/>
          <w:sz w:val="72"/>
          <w:szCs w:val="72"/>
        </w:rPr>
        <w:t>试点领域基层政务公开标准目录汇编</w:t>
      </w:r>
    </w:p>
    <w:p>
      <w:pPr>
        <w:pStyle w:val="2"/>
        <w:ind w:firstLine="300" w:firstLineChars="100"/>
        <w:jc w:val="center"/>
        <w:rPr>
          <w:rFonts w:hint="eastAsia" w:ascii="微软雅黑" w:hAnsi="微软雅黑" w:eastAsia="微软雅黑" w:cs="微软雅黑"/>
          <w:b w:val="0"/>
          <w:bCs w:val="0"/>
          <w:sz w:val="30"/>
          <w:lang w:eastAsia="zh-CN"/>
        </w:rPr>
      </w:pPr>
    </w:p>
    <w:p>
      <w:pPr>
        <w:rPr>
          <w:rFonts w:hint="eastAsia" w:ascii="微软雅黑" w:hAnsi="微软雅黑" w:eastAsia="微软雅黑" w:cs="微软雅黑"/>
          <w:b w:val="0"/>
          <w:bCs w:val="0"/>
          <w:sz w:val="30"/>
          <w:lang w:eastAsia="zh-CN"/>
        </w:rPr>
      </w:pPr>
    </w:p>
    <w:p>
      <w:pPr>
        <w:rPr>
          <w:rFonts w:hint="eastAsia" w:ascii="微软雅黑" w:hAnsi="微软雅黑" w:eastAsia="微软雅黑" w:cs="微软雅黑"/>
          <w:b w:val="0"/>
          <w:bCs w:val="0"/>
          <w:sz w:val="30"/>
          <w:lang w:eastAsia="zh-CN"/>
        </w:rPr>
      </w:pPr>
    </w:p>
    <w:p>
      <w:pPr>
        <w:rPr>
          <w:rFonts w:hint="eastAsia" w:ascii="微软雅黑" w:hAnsi="微软雅黑" w:eastAsia="微软雅黑" w:cs="微软雅黑"/>
          <w:b w:val="0"/>
          <w:bCs w:val="0"/>
          <w:sz w:val="30"/>
          <w:lang w:eastAsia="zh-CN"/>
        </w:rPr>
      </w:pPr>
    </w:p>
    <w:p>
      <w:pPr>
        <w:rPr>
          <w:rFonts w:hint="eastAsia" w:ascii="微软雅黑" w:hAnsi="微软雅黑" w:eastAsia="微软雅黑" w:cs="微软雅黑"/>
          <w:b w:val="0"/>
          <w:bCs w:val="0"/>
          <w:sz w:val="30"/>
          <w:lang w:eastAsia="zh-CN"/>
        </w:rPr>
      </w:pPr>
    </w:p>
    <w:p>
      <w:pPr>
        <w:rPr>
          <w:rFonts w:hint="eastAsia" w:ascii="微软雅黑" w:hAnsi="微软雅黑" w:eastAsia="微软雅黑" w:cs="微软雅黑"/>
          <w:b w:val="0"/>
          <w:bCs w:val="0"/>
          <w:sz w:val="30"/>
          <w:lang w:eastAsia="zh-CN"/>
        </w:rPr>
      </w:pPr>
    </w:p>
    <w:p>
      <w:pPr>
        <w:pStyle w:val="3"/>
        <w:tabs>
          <w:tab w:val="right" w:leader="dot" w:pos="13958"/>
        </w:tabs>
        <w:rPr>
          <w:rFonts w:hint="eastAsia" w:ascii="黑体" w:hAnsi="黑体" w:eastAsia="黑体" w:cs="黑体"/>
          <w:sz w:val="44"/>
          <w:szCs w:val="44"/>
        </w:rPr>
      </w:pPr>
      <w:r>
        <w:rPr>
          <w:rFonts w:hint="eastAsia" w:ascii="黑体" w:hAnsi="黑体" w:eastAsia="黑体" w:cs="黑体"/>
          <w:b w:val="0"/>
          <w:bCs w:val="0"/>
          <w:sz w:val="44"/>
          <w:szCs w:val="44"/>
          <w:lang w:eastAsia="zh-CN"/>
        </w:rPr>
        <w:fldChar w:fldCharType="begin"/>
      </w:r>
      <w:r>
        <w:rPr>
          <w:rFonts w:hint="eastAsia" w:ascii="黑体" w:hAnsi="黑体" w:eastAsia="黑体" w:cs="黑体"/>
          <w:b w:val="0"/>
          <w:bCs w:val="0"/>
          <w:sz w:val="44"/>
          <w:szCs w:val="44"/>
          <w:lang w:eastAsia="zh-CN"/>
        </w:rPr>
        <w:instrText xml:space="preserve">TOC \o "1-2" \h \u </w:instrText>
      </w:r>
      <w:r>
        <w:rPr>
          <w:rFonts w:hint="eastAsia" w:ascii="黑体" w:hAnsi="黑体" w:eastAsia="黑体" w:cs="黑体"/>
          <w:b w:val="0"/>
          <w:bCs w:val="0"/>
          <w:sz w:val="44"/>
          <w:szCs w:val="44"/>
          <w:lang w:eastAsia="zh-CN"/>
        </w:rPr>
        <w:fldChar w:fldCharType="separate"/>
      </w:r>
      <w:r>
        <w:rPr>
          <w:rFonts w:hint="eastAsia" w:ascii="黑体" w:hAnsi="黑体" w:eastAsia="黑体" w:cs="黑体"/>
          <w:bCs w:val="0"/>
          <w:sz w:val="44"/>
          <w:szCs w:val="44"/>
          <w:lang w:eastAsia="zh-CN"/>
        </w:rPr>
        <w:fldChar w:fldCharType="begin"/>
      </w:r>
      <w:r>
        <w:rPr>
          <w:rFonts w:hint="eastAsia" w:ascii="黑体" w:hAnsi="黑体" w:eastAsia="黑体" w:cs="黑体"/>
          <w:bCs w:val="0"/>
          <w:sz w:val="44"/>
          <w:szCs w:val="44"/>
          <w:lang w:eastAsia="zh-CN"/>
        </w:rPr>
        <w:instrText xml:space="preserve"> HYPERLINK \l _Toc30520 </w:instrText>
      </w:r>
      <w:r>
        <w:rPr>
          <w:rFonts w:hint="eastAsia" w:ascii="黑体" w:hAnsi="黑体" w:eastAsia="黑体" w:cs="黑体"/>
          <w:bCs w:val="0"/>
          <w:sz w:val="44"/>
          <w:szCs w:val="44"/>
          <w:lang w:eastAsia="zh-CN"/>
        </w:rPr>
        <w:fldChar w:fldCharType="separate"/>
      </w:r>
      <w:r>
        <w:rPr>
          <w:rFonts w:hint="eastAsia" w:ascii="黑体" w:hAnsi="黑体" w:eastAsia="黑体" w:cs="黑体"/>
          <w:bCs w:val="0"/>
          <w:sz w:val="44"/>
          <w:szCs w:val="44"/>
          <w:lang w:eastAsia="zh-CN"/>
        </w:rPr>
        <w:t>（</w:t>
      </w:r>
      <w:r>
        <w:rPr>
          <w:rFonts w:hint="eastAsia" w:ascii="黑体" w:hAnsi="黑体" w:eastAsia="黑体" w:cs="黑体"/>
          <w:bCs w:val="0"/>
          <w:sz w:val="44"/>
          <w:szCs w:val="44"/>
          <w:lang w:val="en-US" w:eastAsia="zh-CN"/>
        </w:rPr>
        <w:t>一</w:t>
      </w:r>
      <w:r>
        <w:rPr>
          <w:rFonts w:hint="eastAsia" w:ascii="黑体" w:hAnsi="黑体" w:eastAsia="黑体" w:cs="黑体"/>
          <w:bCs w:val="0"/>
          <w:sz w:val="44"/>
          <w:szCs w:val="44"/>
          <w:lang w:eastAsia="zh-CN"/>
        </w:rPr>
        <w:t>）</w:t>
      </w:r>
      <w:r>
        <w:rPr>
          <w:rFonts w:hint="eastAsia" w:ascii="黑体" w:hAnsi="黑体" w:eastAsia="黑体" w:cs="黑体"/>
          <w:bCs w:val="0"/>
          <w:sz w:val="44"/>
          <w:szCs w:val="44"/>
        </w:rPr>
        <w:t>国土空间规划领域基层政务公开标准目录</w:t>
      </w:r>
      <w:r>
        <w:rPr>
          <w:rFonts w:hint="eastAsia" w:ascii="黑体" w:hAnsi="黑体" w:eastAsia="黑体" w:cs="黑体"/>
          <w:sz w:val="44"/>
          <w:szCs w:val="44"/>
        </w:rPr>
        <w:tab/>
      </w:r>
      <w:r>
        <w:rPr>
          <w:rFonts w:hint="eastAsia" w:ascii="黑体" w:hAnsi="黑体" w:eastAsia="黑体" w:cs="黑体"/>
          <w:sz w:val="44"/>
          <w:szCs w:val="44"/>
        </w:rPr>
        <w:fldChar w:fldCharType="begin"/>
      </w:r>
      <w:r>
        <w:rPr>
          <w:rFonts w:hint="eastAsia" w:ascii="黑体" w:hAnsi="黑体" w:eastAsia="黑体" w:cs="黑体"/>
          <w:sz w:val="44"/>
          <w:szCs w:val="44"/>
        </w:rPr>
        <w:instrText xml:space="preserve"> PAGEREF _Toc30520 </w:instrText>
      </w:r>
      <w:r>
        <w:rPr>
          <w:rFonts w:hint="eastAsia" w:ascii="黑体" w:hAnsi="黑体" w:eastAsia="黑体" w:cs="黑体"/>
          <w:sz w:val="44"/>
          <w:szCs w:val="44"/>
        </w:rPr>
        <w:fldChar w:fldCharType="separate"/>
      </w:r>
      <w:r>
        <w:rPr>
          <w:rFonts w:hint="eastAsia" w:ascii="黑体" w:hAnsi="黑体" w:eastAsia="黑体" w:cs="黑体"/>
          <w:sz w:val="44"/>
          <w:szCs w:val="44"/>
        </w:rPr>
        <w:t>3</w:t>
      </w:r>
      <w:r>
        <w:rPr>
          <w:rFonts w:hint="eastAsia" w:ascii="黑体" w:hAnsi="黑体" w:eastAsia="黑体" w:cs="黑体"/>
          <w:sz w:val="44"/>
          <w:szCs w:val="44"/>
        </w:rPr>
        <w:fldChar w:fldCharType="end"/>
      </w:r>
      <w:r>
        <w:rPr>
          <w:rFonts w:hint="eastAsia" w:ascii="黑体" w:hAnsi="黑体" w:eastAsia="黑体" w:cs="黑体"/>
          <w:bCs w:val="0"/>
          <w:sz w:val="44"/>
          <w:szCs w:val="44"/>
          <w:lang w:eastAsia="zh-CN"/>
        </w:rPr>
        <w:fldChar w:fldCharType="end"/>
      </w:r>
    </w:p>
    <w:p>
      <w:pPr>
        <w:pStyle w:val="3"/>
        <w:tabs>
          <w:tab w:val="right" w:leader="dot" w:pos="13958"/>
        </w:tabs>
        <w:rPr>
          <w:rFonts w:hint="eastAsia" w:ascii="黑体" w:hAnsi="黑体" w:eastAsia="黑体" w:cs="黑体"/>
          <w:sz w:val="44"/>
          <w:szCs w:val="44"/>
        </w:rPr>
      </w:pPr>
      <w:r>
        <w:rPr>
          <w:rFonts w:hint="eastAsia" w:ascii="黑体" w:hAnsi="黑体" w:eastAsia="黑体" w:cs="黑体"/>
          <w:bCs w:val="0"/>
          <w:sz w:val="44"/>
          <w:szCs w:val="44"/>
          <w:lang w:eastAsia="zh-CN"/>
        </w:rPr>
        <w:fldChar w:fldCharType="end"/>
      </w:r>
      <w:r>
        <w:rPr>
          <w:rFonts w:hint="eastAsia" w:ascii="黑体" w:hAnsi="黑体" w:eastAsia="黑体" w:cs="黑体"/>
          <w:b w:val="0"/>
          <w:bCs w:val="0"/>
          <w:sz w:val="44"/>
          <w:szCs w:val="44"/>
          <w:lang w:eastAsia="zh-CN"/>
        </w:rPr>
        <w:fldChar w:fldCharType="begin"/>
      </w:r>
      <w:r>
        <w:rPr>
          <w:rFonts w:hint="eastAsia" w:ascii="黑体" w:hAnsi="黑体" w:eastAsia="黑体" w:cs="黑体"/>
          <w:b w:val="0"/>
          <w:bCs w:val="0"/>
          <w:sz w:val="44"/>
          <w:szCs w:val="44"/>
          <w:lang w:eastAsia="zh-CN"/>
        </w:rPr>
        <w:instrText xml:space="preserve">TOC \o "1-2" \h \u </w:instrText>
      </w:r>
      <w:r>
        <w:rPr>
          <w:rFonts w:hint="eastAsia" w:ascii="黑体" w:hAnsi="黑体" w:eastAsia="黑体" w:cs="黑体"/>
          <w:b w:val="0"/>
          <w:bCs w:val="0"/>
          <w:sz w:val="44"/>
          <w:szCs w:val="44"/>
          <w:lang w:eastAsia="zh-CN"/>
        </w:rPr>
        <w:fldChar w:fldCharType="separate"/>
      </w:r>
      <w:r>
        <w:rPr>
          <w:rFonts w:hint="eastAsia" w:ascii="黑体" w:hAnsi="黑体" w:eastAsia="黑体" w:cs="黑体"/>
          <w:bCs w:val="0"/>
          <w:sz w:val="44"/>
          <w:szCs w:val="44"/>
          <w:lang w:eastAsia="zh-CN"/>
        </w:rPr>
        <w:fldChar w:fldCharType="begin"/>
      </w:r>
      <w:r>
        <w:rPr>
          <w:rFonts w:hint="eastAsia" w:ascii="黑体" w:hAnsi="黑体" w:eastAsia="黑体" w:cs="黑体"/>
          <w:bCs w:val="0"/>
          <w:sz w:val="44"/>
          <w:szCs w:val="44"/>
          <w:lang w:eastAsia="zh-CN"/>
        </w:rPr>
        <w:instrText xml:space="preserve"> HYPERLINK \l _Toc30520 </w:instrText>
      </w:r>
      <w:r>
        <w:rPr>
          <w:rFonts w:hint="eastAsia" w:ascii="黑体" w:hAnsi="黑体" w:eastAsia="黑体" w:cs="黑体"/>
          <w:bCs w:val="0"/>
          <w:sz w:val="44"/>
          <w:szCs w:val="44"/>
          <w:lang w:eastAsia="zh-CN"/>
        </w:rPr>
        <w:fldChar w:fldCharType="separate"/>
      </w:r>
      <w:r>
        <w:rPr>
          <w:rFonts w:hint="eastAsia" w:ascii="黑体" w:hAnsi="黑体" w:eastAsia="黑体" w:cs="黑体"/>
          <w:bCs w:val="0"/>
          <w:sz w:val="44"/>
          <w:szCs w:val="44"/>
          <w:lang w:eastAsia="zh-CN"/>
        </w:rPr>
        <w:t>（</w:t>
      </w:r>
      <w:r>
        <w:rPr>
          <w:rFonts w:hint="eastAsia" w:ascii="黑体" w:hAnsi="黑体" w:eastAsia="黑体" w:cs="黑体"/>
          <w:bCs w:val="0"/>
          <w:sz w:val="44"/>
          <w:szCs w:val="44"/>
          <w:lang w:val="en-US" w:eastAsia="zh-CN"/>
        </w:rPr>
        <w:t>二</w:t>
      </w:r>
      <w:r>
        <w:rPr>
          <w:rFonts w:hint="eastAsia" w:ascii="黑体" w:hAnsi="黑体" w:eastAsia="黑体" w:cs="黑体"/>
          <w:bCs w:val="0"/>
          <w:sz w:val="44"/>
          <w:szCs w:val="44"/>
          <w:lang w:eastAsia="zh-CN"/>
        </w:rPr>
        <w:t>）</w:t>
      </w:r>
      <w:r>
        <w:rPr>
          <w:rFonts w:hint="eastAsia" w:ascii="黑体" w:hAnsi="黑体" w:eastAsia="黑体" w:cs="黑体"/>
          <w:bCs w:val="0"/>
          <w:sz w:val="44"/>
          <w:szCs w:val="44"/>
          <w:lang w:val="en-US" w:eastAsia="zh-CN"/>
        </w:rPr>
        <w:t>农村集体土地征收领域基层政务公开</w:t>
      </w:r>
      <w:r>
        <w:rPr>
          <w:rFonts w:hint="eastAsia" w:ascii="黑体" w:hAnsi="黑体" w:eastAsia="黑体" w:cs="黑体"/>
          <w:bCs w:val="0"/>
          <w:sz w:val="44"/>
          <w:szCs w:val="44"/>
        </w:rPr>
        <w:t>标准目录</w:t>
      </w:r>
      <w:r>
        <w:rPr>
          <w:rFonts w:hint="eastAsia" w:ascii="黑体" w:hAnsi="黑体" w:eastAsia="黑体" w:cs="黑体"/>
          <w:sz w:val="44"/>
          <w:szCs w:val="44"/>
        </w:rPr>
        <w:tab/>
      </w:r>
      <w:r>
        <w:rPr>
          <w:rFonts w:hint="eastAsia" w:ascii="黑体" w:hAnsi="黑体" w:eastAsia="黑体" w:cs="黑体"/>
          <w:sz w:val="44"/>
          <w:szCs w:val="44"/>
          <w:lang w:val="en-US" w:eastAsia="zh-CN"/>
        </w:rPr>
        <w:t>4</w:t>
      </w:r>
      <w:r>
        <w:rPr>
          <w:rFonts w:hint="eastAsia" w:ascii="黑体" w:hAnsi="黑体" w:eastAsia="黑体" w:cs="黑体"/>
          <w:bCs w:val="0"/>
          <w:sz w:val="44"/>
          <w:szCs w:val="44"/>
          <w:lang w:eastAsia="zh-CN"/>
        </w:rPr>
        <w:fldChar w:fldCharType="end"/>
      </w:r>
    </w:p>
    <w:p>
      <w:pPr>
        <w:pStyle w:val="3"/>
        <w:tabs>
          <w:tab w:val="right" w:leader="dot" w:pos="13958"/>
        </w:tabs>
        <w:rPr>
          <w:rFonts w:hint="eastAsia" w:ascii="黑体" w:hAnsi="黑体" w:eastAsia="黑体" w:cs="黑体"/>
          <w:sz w:val="44"/>
          <w:szCs w:val="44"/>
        </w:rPr>
      </w:pPr>
      <w:r>
        <w:rPr>
          <w:rFonts w:hint="eastAsia" w:ascii="黑体" w:hAnsi="黑体" w:eastAsia="黑体" w:cs="黑体"/>
          <w:bCs w:val="0"/>
          <w:sz w:val="44"/>
          <w:szCs w:val="44"/>
          <w:lang w:eastAsia="zh-CN"/>
        </w:rPr>
        <w:fldChar w:fldCharType="end"/>
      </w:r>
    </w:p>
    <w:p>
      <w:pPr>
        <w:pStyle w:val="3"/>
        <w:tabs>
          <w:tab w:val="right" w:leader="dot" w:pos="13958"/>
        </w:tabs>
        <w:rPr>
          <w:rFonts w:hint="eastAsia" w:ascii="黑体" w:hAnsi="黑体" w:eastAsia="黑体" w:cs="黑体"/>
          <w:sz w:val="44"/>
          <w:szCs w:val="44"/>
        </w:rPr>
      </w:pPr>
    </w:p>
    <w:p>
      <w:pPr>
        <w:pStyle w:val="3"/>
        <w:tabs>
          <w:tab w:val="right" w:leader="dot" w:pos="13958"/>
        </w:tabs>
        <w:ind w:firstLine="440" w:firstLineChars="100"/>
        <w:jc w:val="center"/>
        <w:rPr>
          <w:rFonts w:hint="eastAsia" w:ascii="黑体" w:hAnsi="黑体" w:eastAsia="黑体" w:cs="黑体"/>
          <w:bCs w:val="0"/>
          <w:sz w:val="44"/>
          <w:szCs w:val="44"/>
          <w:lang w:eastAsia="zh-CN"/>
        </w:rPr>
      </w:pPr>
    </w:p>
    <w:p>
      <w:pPr>
        <w:rPr>
          <w:rFonts w:hint="eastAsia" w:ascii="微软雅黑" w:hAnsi="微软雅黑" w:eastAsia="微软雅黑" w:cs="微软雅黑"/>
          <w:bCs w:val="0"/>
          <w:lang w:eastAsia="zh-CN"/>
        </w:rPr>
      </w:pPr>
    </w:p>
    <w:p>
      <w:pPr>
        <w:rPr>
          <w:rFonts w:hint="eastAsia" w:ascii="微软雅黑" w:hAnsi="微软雅黑" w:eastAsia="微软雅黑" w:cs="微软雅黑"/>
          <w:bCs w:val="0"/>
          <w:lang w:eastAsia="zh-CN"/>
        </w:rPr>
      </w:pPr>
    </w:p>
    <w:p>
      <w:pPr>
        <w:rPr>
          <w:rFonts w:hint="eastAsia" w:ascii="微软雅黑" w:hAnsi="微软雅黑" w:eastAsia="微软雅黑" w:cs="微软雅黑"/>
          <w:bCs w:val="0"/>
          <w:lang w:eastAsia="zh-CN"/>
        </w:rPr>
      </w:pPr>
    </w:p>
    <w:p>
      <w:pPr>
        <w:rPr>
          <w:rFonts w:hint="eastAsia" w:ascii="微软雅黑" w:hAnsi="微软雅黑" w:eastAsia="微软雅黑" w:cs="微软雅黑"/>
          <w:bCs w:val="0"/>
          <w:lang w:eastAsia="zh-CN"/>
        </w:rPr>
      </w:pPr>
    </w:p>
    <w:p>
      <w:pPr>
        <w:rPr>
          <w:rFonts w:hint="eastAsia" w:ascii="微软雅黑" w:hAnsi="微软雅黑" w:eastAsia="微软雅黑" w:cs="微软雅黑"/>
          <w:bCs w:val="0"/>
          <w:lang w:eastAsia="zh-CN"/>
        </w:rPr>
      </w:pPr>
    </w:p>
    <w:p>
      <w:pPr>
        <w:rPr>
          <w:rFonts w:hint="eastAsia" w:ascii="微软雅黑" w:hAnsi="微软雅黑" w:eastAsia="微软雅黑" w:cs="微软雅黑"/>
          <w:bCs w:val="0"/>
          <w:lang w:eastAsia="zh-CN"/>
        </w:rPr>
      </w:pPr>
    </w:p>
    <w:p>
      <w:pPr>
        <w:rPr>
          <w:rFonts w:hint="eastAsia" w:ascii="微软雅黑" w:hAnsi="微软雅黑" w:eastAsia="微软雅黑" w:cs="微软雅黑"/>
          <w:bCs w:val="0"/>
          <w:lang w:eastAsia="zh-CN"/>
        </w:rPr>
      </w:pPr>
    </w:p>
    <w:p>
      <w:pPr>
        <w:pStyle w:val="2"/>
        <w:ind w:firstLine="300" w:firstLineChars="100"/>
        <w:jc w:val="center"/>
        <w:rPr>
          <w:rFonts w:hint="eastAsia" w:ascii="微软雅黑" w:hAnsi="微软雅黑" w:eastAsia="微软雅黑" w:cs="微软雅黑"/>
          <w:b w:val="0"/>
          <w:bCs w:val="0"/>
          <w:sz w:val="30"/>
          <w:lang w:eastAsia="zh-CN"/>
        </w:rPr>
      </w:pPr>
      <w:bookmarkStart w:id="1" w:name="_Toc4098"/>
      <w:bookmarkStart w:id="2" w:name="_Toc4233"/>
      <w:bookmarkStart w:id="3" w:name="_Toc13563"/>
      <w:bookmarkStart w:id="4" w:name="_Toc8077"/>
      <w:bookmarkStart w:id="5" w:name="_Toc30520"/>
      <w:r>
        <w:rPr>
          <w:rFonts w:hint="eastAsia" w:ascii="微软雅黑" w:hAnsi="微软雅黑" w:eastAsia="微软雅黑" w:cs="微软雅黑"/>
          <w:b w:val="0"/>
          <w:bCs w:val="0"/>
          <w:sz w:val="30"/>
          <w:lang w:eastAsia="zh-CN"/>
        </w:rPr>
        <w:t>（</w:t>
      </w:r>
      <w:r>
        <w:rPr>
          <w:rFonts w:hint="eastAsia" w:ascii="微软雅黑" w:hAnsi="微软雅黑" w:eastAsia="微软雅黑" w:cs="微软雅黑"/>
          <w:b w:val="0"/>
          <w:bCs w:val="0"/>
          <w:sz w:val="30"/>
          <w:lang w:val="en-US" w:eastAsia="zh-CN"/>
        </w:rPr>
        <w:t>一</w:t>
      </w:r>
      <w:r>
        <w:rPr>
          <w:rFonts w:hint="eastAsia" w:ascii="微软雅黑" w:hAnsi="微软雅黑" w:eastAsia="微软雅黑" w:cs="微软雅黑"/>
          <w:b w:val="0"/>
          <w:bCs w:val="0"/>
          <w:sz w:val="30"/>
          <w:lang w:eastAsia="zh-CN"/>
        </w:rPr>
        <w:t>）</w:t>
      </w:r>
      <w:r>
        <w:rPr>
          <w:rFonts w:hint="eastAsia" w:ascii="微软雅黑" w:hAnsi="微软雅黑" w:eastAsia="微软雅黑" w:cs="微软雅黑"/>
          <w:b w:val="0"/>
          <w:bCs w:val="0"/>
          <w:sz w:val="30"/>
        </w:rPr>
        <w:t>国土空间规划领域基层政务公开标准目录</w:t>
      </w:r>
      <w:bookmarkEnd w:id="0"/>
      <w:bookmarkEnd w:id="1"/>
      <w:bookmarkEnd w:id="2"/>
      <w:bookmarkEnd w:id="3"/>
      <w:bookmarkEnd w:id="4"/>
      <w:bookmarkEnd w:id="5"/>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649"/>
        <w:gridCol w:w="974"/>
        <w:gridCol w:w="1624"/>
        <w:gridCol w:w="1948"/>
        <w:gridCol w:w="1299"/>
        <w:gridCol w:w="974"/>
        <w:gridCol w:w="2485"/>
        <w:gridCol w:w="650"/>
        <w:gridCol w:w="639"/>
        <w:gridCol w:w="497"/>
        <w:gridCol w:w="649"/>
        <w:gridCol w:w="64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87" w:type="dxa"/>
            <w:vMerge w:val="restart"/>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序号</w:t>
            </w:r>
          </w:p>
        </w:tc>
        <w:tc>
          <w:tcPr>
            <w:tcW w:w="1623" w:type="dxa"/>
            <w:gridSpan w:val="2"/>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公开事项</w:t>
            </w:r>
          </w:p>
        </w:tc>
        <w:tc>
          <w:tcPr>
            <w:tcW w:w="1624" w:type="dxa"/>
            <w:vMerge w:val="restart"/>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公开内容（要素）</w:t>
            </w:r>
          </w:p>
        </w:tc>
        <w:tc>
          <w:tcPr>
            <w:tcW w:w="1948" w:type="dxa"/>
            <w:vMerge w:val="restart"/>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公开依据</w:t>
            </w:r>
          </w:p>
        </w:tc>
        <w:tc>
          <w:tcPr>
            <w:tcW w:w="1299" w:type="dxa"/>
            <w:vMerge w:val="restart"/>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公开时限</w:t>
            </w:r>
          </w:p>
        </w:tc>
        <w:tc>
          <w:tcPr>
            <w:tcW w:w="974" w:type="dxa"/>
            <w:vMerge w:val="restart"/>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公开主体</w:t>
            </w:r>
          </w:p>
        </w:tc>
        <w:tc>
          <w:tcPr>
            <w:tcW w:w="2485" w:type="dxa"/>
            <w:vMerge w:val="restart"/>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公开渠道和载体</w:t>
            </w:r>
          </w:p>
        </w:tc>
        <w:tc>
          <w:tcPr>
            <w:tcW w:w="1289" w:type="dxa"/>
            <w:gridSpan w:val="2"/>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公开对象</w:t>
            </w:r>
          </w:p>
        </w:tc>
        <w:tc>
          <w:tcPr>
            <w:tcW w:w="1146" w:type="dxa"/>
            <w:gridSpan w:val="2"/>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公开方式</w:t>
            </w:r>
          </w:p>
        </w:tc>
        <w:tc>
          <w:tcPr>
            <w:tcW w:w="1299" w:type="dxa"/>
            <w:gridSpan w:val="2"/>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87" w:type="dxa"/>
            <w:vMerge w:val="continue"/>
            <w:shd w:val="clear" w:color="auto" w:fill="auto"/>
            <w:vAlign w:val="center"/>
          </w:tcPr>
          <w:p>
            <w:pPr>
              <w:widowControl/>
              <w:jc w:val="left"/>
              <w:rPr>
                <w:rFonts w:ascii="微软雅黑" w:hAnsi="微软雅黑" w:eastAsia="微软雅黑" w:cs="微软雅黑"/>
                <w:color w:val="000000"/>
                <w:kern w:val="0"/>
                <w:sz w:val="22"/>
              </w:rPr>
            </w:pPr>
          </w:p>
        </w:tc>
        <w:tc>
          <w:tcPr>
            <w:tcW w:w="649"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一级事项</w:t>
            </w:r>
          </w:p>
        </w:tc>
        <w:tc>
          <w:tcPr>
            <w:tcW w:w="974"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二级事项</w:t>
            </w:r>
          </w:p>
        </w:tc>
        <w:tc>
          <w:tcPr>
            <w:tcW w:w="1624" w:type="dxa"/>
            <w:vMerge w:val="continue"/>
            <w:shd w:val="clear" w:color="auto" w:fill="auto"/>
            <w:vAlign w:val="center"/>
          </w:tcPr>
          <w:p>
            <w:pPr>
              <w:widowControl/>
              <w:jc w:val="left"/>
              <w:rPr>
                <w:rFonts w:ascii="微软雅黑" w:hAnsi="微软雅黑" w:eastAsia="微软雅黑" w:cs="微软雅黑"/>
                <w:color w:val="000000"/>
                <w:kern w:val="0"/>
                <w:sz w:val="22"/>
              </w:rPr>
            </w:pPr>
          </w:p>
        </w:tc>
        <w:tc>
          <w:tcPr>
            <w:tcW w:w="1948" w:type="dxa"/>
            <w:vMerge w:val="continue"/>
            <w:shd w:val="clear" w:color="auto" w:fill="auto"/>
            <w:vAlign w:val="center"/>
          </w:tcPr>
          <w:p>
            <w:pPr>
              <w:widowControl/>
              <w:jc w:val="left"/>
              <w:rPr>
                <w:rFonts w:ascii="微软雅黑" w:hAnsi="微软雅黑" w:eastAsia="微软雅黑" w:cs="微软雅黑"/>
                <w:color w:val="000000"/>
                <w:kern w:val="0"/>
                <w:sz w:val="22"/>
              </w:rPr>
            </w:pPr>
          </w:p>
        </w:tc>
        <w:tc>
          <w:tcPr>
            <w:tcW w:w="1299" w:type="dxa"/>
            <w:vMerge w:val="continue"/>
            <w:shd w:val="clear" w:color="auto" w:fill="auto"/>
            <w:vAlign w:val="center"/>
          </w:tcPr>
          <w:p>
            <w:pPr>
              <w:widowControl/>
              <w:jc w:val="left"/>
              <w:rPr>
                <w:rFonts w:ascii="微软雅黑" w:hAnsi="微软雅黑" w:eastAsia="微软雅黑" w:cs="微软雅黑"/>
                <w:color w:val="000000"/>
                <w:kern w:val="0"/>
                <w:sz w:val="22"/>
              </w:rPr>
            </w:pPr>
          </w:p>
        </w:tc>
        <w:tc>
          <w:tcPr>
            <w:tcW w:w="974" w:type="dxa"/>
            <w:vMerge w:val="continue"/>
            <w:shd w:val="clear" w:color="auto" w:fill="auto"/>
            <w:vAlign w:val="center"/>
          </w:tcPr>
          <w:p>
            <w:pPr>
              <w:widowControl/>
              <w:jc w:val="left"/>
              <w:rPr>
                <w:rFonts w:ascii="微软雅黑" w:hAnsi="微软雅黑" w:eastAsia="微软雅黑" w:cs="微软雅黑"/>
                <w:color w:val="000000"/>
                <w:kern w:val="0"/>
                <w:sz w:val="22"/>
              </w:rPr>
            </w:pPr>
          </w:p>
        </w:tc>
        <w:tc>
          <w:tcPr>
            <w:tcW w:w="2485" w:type="dxa"/>
            <w:vMerge w:val="continue"/>
            <w:shd w:val="clear" w:color="auto" w:fill="auto"/>
            <w:vAlign w:val="center"/>
          </w:tcPr>
          <w:p>
            <w:pPr>
              <w:widowControl/>
              <w:jc w:val="left"/>
              <w:rPr>
                <w:rFonts w:ascii="微软雅黑" w:hAnsi="微软雅黑" w:eastAsia="微软雅黑" w:cs="微软雅黑"/>
                <w:kern w:val="0"/>
                <w:sz w:val="22"/>
              </w:rPr>
            </w:pPr>
          </w:p>
        </w:tc>
        <w:tc>
          <w:tcPr>
            <w:tcW w:w="650"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全社会</w:t>
            </w:r>
          </w:p>
        </w:tc>
        <w:tc>
          <w:tcPr>
            <w:tcW w:w="639"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特定群众</w:t>
            </w:r>
          </w:p>
        </w:tc>
        <w:tc>
          <w:tcPr>
            <w:tcW w:w="497"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主动</w:t>
            </w:r>
          </w:p>
        </w:tc>
        <w:tc>
          <w:tcPr>
            <w:tcW w:w="649"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依申请公开</w:t>
            </w:r>
          </w:p>
        </w:tc>
        <w:tc>
          <w:tcPr>
            <w:tcW w:w="649"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县级</w:t>
            </w:r>
          </w:p>
        </w:tc>
        <w:tc>
          <w:tcPr>
            <w:tcW w:w="650"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87"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649" w:type="dxa"/>
            <w:vMerge w:val="restart"/>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规划编制</w:t>
            </w:r>
          </w:p>
        </w:tc>
        <w:tc>
          <w:tcPr>
            <w:tcW w:w="974"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县级国土空间规划</w:t>
            </w:r>
          </w:p>
        </w:tc>
        <w:tc>
          <w:tcPr>
            <w:tcW w:w="1624" w:type="dxa"/>
            <w:shd w:val="clear" w:color="auto" w:fill="auto"/>
            <w:vAlign w:val="center"/>
          </w:tcPr>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按程序批准后的公开版文本及图件</w:t>
            </w:r>
          </w:p>
        </w:tc>
        <w:tc>
          <w:tcPr>
            <w:tcW w:w="1948" w:type="dxa"/>
            <w:shd w:val="clear" w:color="auto" w:fill="auto"/>
            <w:vAlign w:val="center"/>
          </w:tcPr>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《土地管理法》、《城乡规划法》、《政府信息公开条例》</w:t>
            </w:r>
          </w:p>
        </w:tc>
        <w:tc>
          <w:tcPr>
            <w:tcW w:w="1299" w:type="dxa"/>
            <w:shd w:val="clear" w:color="auto" w:fill="auto"/>
            <w:vAlign w:val="center"/>
          </w:tcPr>
          <w:p>
            <w:pPr>
              <w:widowControl/>
              <w:ind w:firstLine="180" w:firstLineChars="100"/>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信息形成或者变更之日起20个工作日内</w:t>
            </w:r>
          </w:p>
        </w:tc>
        <w:tc>
          <w:tcPr>
            <w:tcW w:w="974"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自然资源管理部门</w:t>
            </w:r>
          </w:p>
        </w:tc>
        <w:tc>
          <w:tcPr>
            <w:tcW w:w="2485" w:type="dxa"/>
            <w:shd w:val="clear" w:color="auto" w:fill="auto"/>
            <w:vAlign w:val="center"/>
          </w:tcPr>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■政府网站  ■两微一端 </w:t>
            </w:r>
          </w:p>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■纸质载体  ■公开查阅点</w:t>
            </w:r>
          </w:p>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■政府服务中心    </w:t>
            </w:r>
          </w:p>
        </w:tc>
        <w:tc>
          <w:tcPr>
            <w:tcW w:w="650"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39" w:type="dxa"/>
            <w:shd w:val="clear" w:color="auto" w:fill="auto"/>
            <w:vAlign w:val="center"/>
          </w:tcPr>
          <w:p>
            <w:pPr>
              <w:widowControl/>
              <w:jc w:val="center"/>
              <w:rPr>
                <w:rFonts w:ascii="微软雅黑" w:hAnsi="微软雅黑" w:eastAsia="微软雅黑" w:cs="微软雅黑"/>
                <w:color w:val="000000"/>
                <w:sz w:val="18"/>
                <w:szCs w:val="18"/>
              </w:rPr>
            </w:pPr>
          </w:p>
        </w:tc>
        <w:tc>
          <w:tcPr>
            <w:tcW w:w="497"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49" w:type="dxa"/>
            <w:shd w:val="clear" w:color="auto" w:fill="auto"/>
            <w:vAlign w:val="center"/>
          </w:tcPr>
          <w:p>
            <w:pPr>
              <w:widowControl/>
              <w:jc w:val="center"/>
              <w:rPr>
                <w:rFonts w:ascii="微软雅黑" w:hAnsi="微软雅黑" w:eastAsia="微软雅黑" w:cs="微软雅黑"/>
                <w:color w:val="000000"/>
                <w:sz w:val="18"/>
                <w:szCs w:val="18"/>
              </w:rPr>
            </w:pPr>
          </w:p>
        </w:tc>
        <w:tc>
          <w:tcPr>
            <w:tcW w:w="649"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50" w:type="dxa"/>
            <w:shd w:val="clear" w:color="auto" w:fill="auto"/>
            <w:vAlign w:val="center"/>
          </w:tcPr>
          <w:p>
            <w:pPr>
              <w:widowControl/>
              <w:jc w:val="center"/>
              <w:rPr>
                <w:rFonts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87"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c>
          <w:tcPr>
            <w:tcW w:w="649" w:type="dxa"/>
            <w:vMerge w:val="continue"/>
            <w:shd w:val="clear" w:color="auto" w:fill="auto"/>
            <w:vAlign w:val="center"/>
          </w:tcPr>
          <w:p>
            <w:pPr>
              <w:jc w:val="left"/>
              <w:rPr>
                <w:rFonts w:ascii="微软雅黑" w:hAnsi="微软雅黑" w:eastAsia="微软雅黑" w:cs="微软雅黑"/>
                <w:color w:val="000000"/>
                <w:sz w:val="18"/>
                <w:szCs w:val="18"/>
              </w:rPr>
            </w:pPr>
          </w:p>
        </w:tc>
        <w:tc>
          <w:tcPr>
            <w:tcW w:w="974"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报自治区审批的县级国土空间规划</w:t>
            </w:r>
          </w:p>
        </w:tc>
        <w:tc>
          <w:tcPr>
            <w:tcW w:w="1624" w:type="dxa"/>
            <w:shd w:val="clear" w:color="auto" w:fill="auto"/>
            <w:vAlign w:val="center"/>
          </w:tcPr>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报自治区审批的县级国土空间总体规划的批复文件</w:t>
            </w:r>
          </w:p>
        </w:tc>
        <w:tc>
          <w:tcPr>
            <w:tcW w:w="1948" w:type="dxa"/>
            <w:shd w:val="clear" w:color="auto" w:fill="auto"/>
            <w:vAlign w:val="center"/>
          </w:tcPr>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《土地管理法》、《城乡规划法》、《政府信息公开条例》</w:t>
            </w:r>
          </w:p>
        </w:tc>
        <w:tc>
          <w:tcPr>
            <w:tcW w:w="1299"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信息形成或者变更之日起20个工作日内</w:t>
            </w:r>
          </w:p>
        </w:tc>
        <w:tc>
          <w:tcPr>
            <w:tcW w:w="974"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自然资源管理部门</w:t>
            </w:r>
          </w:p>
        </w:tc>
        <w:tc>
          <w:tcPr>
            <w:tcW w:w="2485" w:type="dxa"/>
            <w:shd w:val="clear" w:color="auto" w:fill="auto"/>
            <w:vAlign w:val="center"/>
          </w:tcPr>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■政府网站  ■两微一端 </w:t>
            </w:r>
          </w:p>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■广播电视 </w:t>
            </w:r>
          </w:p>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■公开查阅点■政府服务中心  </w:t>
            </w:r>
          </w:p>
        </w:tc>
        <w:tc>
          <w:tcPr>
            <w:tcW w:w="650"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39" w:type="dxa"/>
            <w:shd w:val="clear" w:color="auto" w:fill="auto"/>
            <w:vAlign w:val="center"/>
          </w:tcPr>
          <w:p>
            <w:pPr>
              <w:widowControl/>
              <w:jc w:val="center"/>
              <w:rPr>
                <w:rFonts w:ascii="微软雅黑" w:hAnsi="微软雅黑" w:eastAsia="微软雅黑" w:cs="微软雅黑"/>
                <w:color w:val="000000"/>
                <w:sz w:val="18"/>
                <w:szCs w:val="18"/>
              </w:rPr>
            </w:pPr>
          </w:p>
        </w:tc>
        <w:tc>
          <w:tcPr>
            <w:tcW w:w="497"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49" w:type="dxa"/>
            <w:shd w:val="clear" w:color="auto" w:fill="auto"/>
            <w:vAlign w:val="center"/>
          </w:tcPr>
          <w:p>
            <w:pPr>
              <w:widowControl/>
              <w:jc w:val="center"/>
              <w:rPr>
                <w:rFonts w:ascii="微软雅黑" w:hAnsi="微软雅黑" w:eastAsia="微软雅黑" w:cs="微软雅黑"/>
                <w:color w:val="000000"/>
                <w:sz w:val="18"/>
                <w:szCs w:val="18"/>
              </w:rPr>
            </w:pPr>
          </w:p>
        </w:tc>
        <w:tc>
          <w:tcPr>
            <w:tcW w:w="649"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50" w:type="dxa"/>
            <w:shd w:val="clear" w:color="auto" w:fill="auto"/>
            <w:vAlign w:val="center"/>
          </w:tcPr>
          <w:p>
            <w:pPr>
              <w:widowControl/>
              <w:jc w:val="center"/>
              <w:rPr>
                <w:rFonts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87"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w:t>
            </w:r>
          </w:p>
        </w:tc>
        <w:tc>
          <w:tcPr>
            <w:tcW w:w="649" w:type="dxa"/>
            <w:vMerge w:val="continue"/>
            <w:shd w:val="clear" w:color="auto" w:fill="auto"/>
            <w:vAlign w:val="center"/>
          </w:tcPr>
          <w:p>
            <w:pPr>
              <w:widowControl/>
              <w:jc w:val="left"/>
              <w:rPr>
                <w:rFonts w:ascii="微软雅黑" w:hAnsi="微软雅黑" w:eastAsia="微软雅黑" w:cs="微软雅黑"/>
                <w:color w:val="000000"/>
                <w:sz w:val="18"/>
                <w:szCs w:val="18"/>
              </w:rPr>
            </w:pPr>
          </w:p>
        </w:tc>
        <w:tc>
          <w:tcPr>
            <w:tcW w:w="974"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乡（镇）国土空间规划</w:t>
            </w:r>
          </w:p>
        </w:tc>
        <w:tc>
          <w:tcPr>
            <w:tcW w:w="1624" w:type="dxa"/>
            <w:shd w:val="clear" w:color="auto" w:fill="auto"/>
            <w:vAlign w:val="center"/>
          </w:tcPr>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按程序批准后的公开版文本及图件</w:t>
            </w:r>
          </w:p>
        </w:tc>
        <w:tc>
          <w:tcPr>
            <w:tcW w:w="1948" w:type="dxa"/>
            <w:shd w:val="clear" w:color="auto" w:fill="auto"/>
            <w:vAlign w:val="center"/>
          </w:tcPr>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《土地管理法》、《城乡规划法》、《政府信息公开条例》</w:t>
            </w:r>
          </w:p>
        </w:tc>
        <w:tc>
          <w:tcPr>
            <w:tcW w:w="1299"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信息形成或者变更之日起20个工作日内</w:t>
            </w:r>
          </w:p>
        </w:tc>
        <w:tc>
          <w:tcPr>
            <w:tcW w:w="974"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自然资源管理部门</w:t>
            </w:r>
          </w:p>
        </w:tc>
        <w:tc>
          <w:tcPr>
            <w:tcW w:w="2485" w:type="dxa"/>
            <w:shd w:val="clear" w:color="auto" w:fill="auto"/>
            <w:vAlign w:val="center"/>
          </w:tcPr>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■政府网站  ■两微一端 </w:t>
            </w:r>
          </w:p>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■公开查阅点■政府服务中心 </w:t>
            </w:r>
          </w:p>
        </w:tc>
        <w:tc>
          <w:tcPr>
            <w:tcW w:w="650"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39" w:type="dxa"/>
            <w:shd w:val="clear" w:color="auto" w:fill="auto"/>
            <w:vAlign w:val="center"/>
          </w:tcPr>
          <w:p>
            <w:pPr>
              <w:widowControl/>
              <w:jc w:val="center"/>
              <w:rPr>
                <w:rFonts w:ascii="微软雅黑" w:hAnsi="微软雅黑" w:eastAsia="微软雅黑" w:cs="微软雅黑"/>
                <w:color w:val="000000"/>
                <w:sz w:val="18"/>
                <w:szCs w:val="18"/>
              </w:rPr>
            </w:pPr>
          </w:p>
        </w:tc>
        <w:tc>
          <w:tcPr>
            <w:tcW w:w="497"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49" w:type="dxa"/>
            <w:shd w:val="clear" w:color="auto" w:fill="auto"/>
            <w:vAlign w:val="center"/>
          </w:tcPr>
          <w:p>
            <w:pPr>
              <w:widowControl/>
              <w:jc w:val="center"/>
              <w:rPr>
                <w:rFonts w:ascii="微软雅黑" w:hAnsi="微软雅黑" w:eastAsia="微软雅黑" w:cs="微软雅黑"/>
                <w:color w:val="000000"/>
                <w:sz w:val="18"/>
                <w:szCs w:val="18"/>
              </w:rPr>
            </w:pPr>
          </w:p>
        </w:tc>
        <w:tc>
          <w:tcPr>
            <w:tcW w:w="649"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50" w:type="dxa"/>
            <w:shd w:val="clear" w:color="auto" w:fill="auto"/>
            <w:vAlign w:val="center"/>
          </w:tcPr>
          <w:p>
            <w:pPr>
              <w:widowControl/>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87" w:type="dxa"/>
            <w:shd w:val="clear" w:color="auto" w:fill="auto"/>
            <w:vAlign w:val="center"/>
          </w:tcPr>
          <w:p>
            <w:pPr>
              <w:widowControl/>
              <w:jc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4</w:t>
            </w:r>
          </w:p>
        </w:tc>
        <w:tc>
          <w:tcPr>
            <w:tcW w:w="649" w:type="dxa"/>
            <w:vMerge w:val="continue"/>
            <w:shd w:val="clear" w:color="auto" w:fill="auto"/>
            <w:vAlign w:val="center"/>
          </w:tcPr>
          <w:p>
            <w:pPr>
              <w:widowControl/>
              <w:jc w:val="left"/>
              <w:rPr>
                <w:rFonts w:ascii="微软雅黑" w:hAnsi="微软雅黑" w:eastAsia="微软雅黑" w:cs="微软雅黑"/>
                <w:color w:val="000000"/>
                <w:sz w:val="18"/>
                <w:szCs w:val="18"/>
              </w:rPr>
            </w:pPr>
          </w:p>
        </w:tc>
        <w:tc>
          <w:tcPr>
            <w:tcW w:w="974" w:type="dxa"/>
            <w:shd w:val="clear" w:color="auto" w:fill="auto"/>
            <w:vAlign w:val="center"/>
          </w:tcPr>
          <w:p>
            <w:pPr>
              <w:widowControl/>
              <w:jc w:val="center"/>
              <w:rPr>
                <w:rFonts w:hint="eastAsia" w:ascii="微软雅黑" w:hAnsi="微软雅黑" w:eastAsia="微软雅黑" w:cs="微软雅黑"/>
                <w:color w:val="000000"/>
                <w:sz w:val="18"/>
                <w:szCs w:val="18"/>
              </w:rPr>
            </w:pPr>
            <w:r>
              <w:rPr>
                <w:rFonts w:ascii="微软雅黑" w:hAnsi="微软雅黑" w:eastAsia="微软雅黑" w:cs="微软雅黑"/>
                <w:color w:val="000000"/>
                <w:sz w:val="18"/>
                <w:szCs w:val="18"/>
              </w:rPr>
              <w:t>村庄规划</w:t>
            </w:r>
          </w:p>
        </w:tc>
        <w:tc>
          <w:tcPr>
            <w:tcW w:w="1624" w:type="dxa"/>
            <w:shd w:val="clear" w:color="auto" w:fill="auto"/>
            <w:vAlign w:val="center"/>
          </w:tcPr>
          <w:p>
            <w:pPr>
              <w:widowControl/>
              <w:jc w:val="left"/>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按程序批准后的公开版文本及图件</w:t>
            </w:r>
          </w:p>
        </w:tc>
        <w:tc>
          <w:tcPr>
            <w:tcW w:w="1948" w:type="dxa"/>
            <w:shd w:val="clear" w:color="auto" w:fill="auto"/>
            <w:vAlign w:val="center"/>
          </w:tcPr>
          <w:p>
            <w:pPr>
              <w:widowControl/>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《土地管理法》、《城乡规划法》、《政府信息公开条例》</w:t>
            </w:r>
          </w:p>
        </w:tc>
        <w:tc>
          <w:tcPr>
            <w:tcW w:w="1299" w:type="dxa"/>
            <w:shd w:val="clear" w:color="auto" w:fill="auto"/>
            <w:vAlign w:val="center"/>
          </w:tcPr>
          <w:p>
            <w:pPr>
              <w:widowControl/>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信息形成或者变更之日起20个工作日内</w:t>
            </w:r>
          </w:p>
        </w:tc>
        <w:tc>
          <w:tcPr>
            <w:tcW w:w="974" w:type="dxa"/>
            <w:shd w:val="clear" w:color="auto" w:fill="auto"/>
            <w:vAlign w:val="center"/>
          </w:tcPr>
          <w:p>
            <w:pPr>
              <w:widowControl/>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自然资源管理部门</w:t>
            </w:r>
          </w:p>
        </w:tc>
        <w:tc>
          <w:tcPr>
            <w:tcW w:w="2485" w:type="dxa"/>
            <w:shd w:val="clear" w:color="auto" w:fill="auto"/>
            <w:vAlign w:val="center"/>
          </w:tcPr>
          <w:p>
            <w:pPr>
              <w:widowControl/>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■政府网站  ■两微一端 </w:t>
            </w:r>
          </w:p>
          <w:p>
            <w:pPr>
              <w:widowControl/>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■纸质载体  ■公开查阅点</w:t>
            </w:r>
          </w:p>
          <w:p>
            <w:pPr>
              <w:widowControl/>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■政府服务中心</w:t>
            </w:r>
          </w:p>
        </w:tc>
        <w:tc>
          <w:tcPr>
            <w:tcW w:w="650" w:type="dxa"/>
            <w:shd w:val="clear" w:color="auto" w:fill="auto"/>
            <w:vAlign w:val="center"/>
          </w:tcPr>
          <w:p>
            <w:pPr>
              <w:widowControl/>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39" w:type="dxa"/>
            <w:shd w:val="clear" w:color="auto" w:fill="auto"/>
            <w:vAlign w:val="center"/>
          </w:tcPr>
          <w:p>
            <w:pPr>
              <w:widowControl/>
              <w:jc w:val="center"/>
              <w:rPr>
                <w:rFonts w:ascii="微软雅黑" w:hAnsi="微软雅黑" w:eastAsia="微软雅黑" w:cs="微软雅黑"/>
                <w:color w:val="000000"/>
                <w:sz w:val="18"/>
                <w:szCs w:val="18"/>
              </w:rPr>
            </w:pPr>
          </w:p>
        </w:tc>
        <w:tc>
          <w:tcPr>
            <w:tcW w:w="497" w:type="dxa"/>
            <w:shd w:val="clear" w:color="auto" w:fill="auto"/>
            <w:vAlign w:val="center"/>
          </w:tcPr>
          <w:p>
            <w:pPr>
              <w:widowControl/>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49" w:type="dxa"/>
            <w:shd w:val="clear" w:color="auto" w:fill="auto"/>
            <w:vAlign w:val="center"/>
          </w:tcPr>
          <w:p>
            <w:pPr>
              <w:widowControl/>
              <w:jc w:val="center"/>
              <w:rPr>
                <w:rFonts w:ascii="微软雅黑" w:hAnsi="微软雅黑" w:eastAsia="微软雅黑" w:cs="微软雅黑"/>
                <w:color w:val="000000"/>
                <w:sz w:val="18"/>
                <w:szCs w:val="18"/>
              </w:rPr>
            </w:pPr>
          </w:p>
        </w:tc>
        <w:tc>
          <w:tcPr>
            <w:tcW w:w="649" w:type="dxa"/>
            <w:shd w:val="clear" w:color="auto" w:fill="auto"/>
            <w:vAlign w:val="center"/>
          </w:tcPr>
          <w:p>
            <w:pPr>
              <w:widowControl/>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650" w:type="dxa"/>
            <w:shd w:val="clear" w:color="auto" w:fill="auto"/>
            <w:vAlign w:val="center"/>
          </w:tcPr>
          <w:p>
            <w:pPr>
              <w:widowControl/>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r>
    </w:tbl>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jc w:val="center"/>
        <w:rPr>
          <w:rFonts w:ascii="微软雅黑" w:hAnsi="微软雅黑" w:eastAsia="微软雅黑" w:cs="微软雅黑"/>
        </w:rPr>
      </w:pPr>
      <w:r>
        <w:rPr>
          <w:rFonts w:hint="eastAsia" w:ascii="微软雅黑" w:hAnsi="微软雅黑" w:eastAsia="微软雅黑" w:cs="微软雅黑"/>
          <w:b w:val="0"/>
          <w:bCs w:val="0"/>
          <w:kern w:val="44"/>
          <w:sz w:val="30"/>
          <w:szCs w:val="44"/>
          <w:lang w:val="en-US" w:eastAsia="zh-CN" w:bidi="ar-SA"/>
        </w:rPr>
        <w:t>（二）农村集体土地征收基层政务公开事项标准目录</w:t>
      </w: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0"/>
        <w:gridCol w:w="422"/>
        <w:gridCol w:w="426"/>
        <w:gridCol w:w="5732"/>
        <w:gridCol w:w="1252"/>
        <w:gridCol w:w="1087"/>
        <w:gridCol w:w="1009"/>
        <w:gridCol w:w="1175"/>
        <w:gridCol w:w="394"/>
        <w:gridCol w:w="461"/>
        <w:gridCol w:w="361"/>
        <w:gridCol w:w="448"/>
        <w:gridCol w:w="466"/>
        <w:gridCol w:w="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0" w:hRule="atLeast"/>
        </w:trPr>
        <w:tc>
          <w:tcPr>
            <w:tcW w:w="13988" w:type="dxa"/>
            <w:gridSpan w:val="14"/>
            <w:tcBorders>
              <w:bottom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公开事项</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公开内容（要素）</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公开依据</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公开时限</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公开主体</w:t>
            </w:r>
          </w:p>
        </w:tc>
        <w:tc>
          <w:tcPr>
            <w:tcW w:w="1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公开渠道和载体</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公开对象</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公开方式</w:t>
            </w:r>
          </w:p>
        </w:tc>
        <w:tc>
          <w:tcPr>
            <w:tcW w:w="92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一级事项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二级事项</w:t>
            </w: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全社会</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特定对象</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主动</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依申请公开</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县级</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征地管理政策</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法规文件</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法律、法规、规章、规范性文件；                                           </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自该信息形成或者收到之日起20个工作日内予以公开，法律法规另有规定的除外。</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县人民政府和自然资源主管部门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政策文件</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1.县征地补偿标准（征地区片综合地价）；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2.地上附着物和青苗补偿费标准；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3.社会保障。</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自该信息形成或者收到之日起20个工作日内予以公开，法律法规另有规定的除外。</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县人民政府及自然资源、人力资源和社会保障主管部门以及负责实施农村集体土地征收的有关部门</w:t>
            </w:r>
            <w:r>
              <w:rPr>
                <w:rStyle w:val="7"/>
                <w:lang w:val="en-US" w:eastAsia="zh-CN" w:bidi="ar"/>
              </w:rPr>
              <w:t>（含乡镇政府等）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征地前期准备</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拟征收土地预公告</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在拟征收土地前，应明确征收土地有关事项并予以公开。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1.征收目的；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2.征收土地的位置和范围；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3.土地补偿费、安置补助费标准及安置方式；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4.开展土地现状调查的安排；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5.拟征收土地的原用途管控（包括不得抢栽、抢种、抢建等有关规定）；</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《政府信息公开条例》《土地管理法》（第三次修正）《国务院关于深化改革严格土地管理的决定》</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自该信息形成或者收到之日起20个工作日内予以公开。</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县（人民政府及自然资源主管部门以及负责实施农村集体土地征收的有关部门（含乡镇政府等）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收到之日起5个工作日内，在村公示栏公开。</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拟征收土地现状调查</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拟征收土地现状调查结果按规定确认后，调查结果予以公开。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1.征收土地情况调查表；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2.地上附着物和青苗调查登记表</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《政府信息公开条例》《国务院关于深化改革严格土地管理的决定》、建设用地审查报批有关规定</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拟征收土地现状调查结束后5个工作日内，在村公示栏公开。</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县负责农村集体土地征收的有关部门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color w:val="000000"/>
                <w:sz w:val="20"/>
                <w:szCs w:val="20"/>
                <w:u w:val="none"/>
              </w:rPr>
            </w:pP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w:t>
            </w:r>
            <w:r>
              <w:rPr>
                <w:rStyle w:val="7"/>
                <w:lang w:val="en-US" w:eastAsia="zh-CN" w:bidi="ar"/>
              </w:rPr>
              <w:t>20个工作日</w:t>
            </w:r>
            <w:r>
              <w:rPr>
                <w:rStyle w:val="8"/>
                <w:lang w:val="en-US" w:eastAsia="zh-CN" w:bidi="ar"/>
              </w:rPr>
              <w:t>内，在政府网站、征地信息公开平台公开。</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color w:val="000000"/>
                <w:sz w:val="20"/>
                <w:szCs w:val="20"/>
                <w:u w:val="none"/>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征地补偿安置方案公告</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根据土地现状调查情况，拟定《征地补偿安置方案》并予以公开。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1.征收位置和范围、面积、征收目的、土地现状；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2.征收土地补偿费和安置补助费标准以及地上附着物和青苗补偿标准；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3.安置方式和社会保障；                                                     4.听证等救济途径；</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自该信息形成或者收到之日起20个工作日内予以公开。</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县人民政府及自然资源、人力资源和社会保障主管部门以及负责实施农村集体土地征收的有关部门（含乡镇政府等）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政府网站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收到之日起5个工作日内，在村公示栏公开。</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征地听证</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依申请开展听证工作的，听证结果公开。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1.听证通知书；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2.听证处理意见；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3.听证笔录(该项为可选项，由各乡（镇）根据实际情况确定）；</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《自然资源听证规定》《土地管理法》（第三次修正）</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《听证通知书》应在组织听证7个工作日前予以公开。</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县（人民政府及自然资源主管部门和负责农村集体土地征收的有关部门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color w:val="000000"/>
                <w:sz w:val="20"/>
                <w:szCs w:val="20"/>
                <w:u w:val="none"/>
              </w:rPr>
            </w:pP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其他听证公开内容在征地听证结束后5个工作日内公开。公示结束后转为依申请公开。</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color w:val="000000"/>
                <w:sz w:val="20"/>
                <w:szCs w:val="20"/>
                <w:u w:val="none"/>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征地前期准备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征地补偿登记</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征地补偿登记汇总表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1.征地补偿登记结束后5个工作日内共公开。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2.公示结束后转为依申请公开。</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县负责农村集体土地征收的有关部门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color w:val="000000"/>
                <w:sz w:val="20"/>
                <w:szCs w:val="20"/>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征地等补偿费用支付</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征地补偿费用支付凭证。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(在被征地村公告栏张贴，予以公开，张贴之日起20个工作日后可依申请公开)</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1.获得支付凭证后5个工作日内予以公开。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2.公示结束后转为依申请公开。</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县人民政府和负责农村集体土地征收的有关部门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i w:val="0"/>
                <w:color w:val="000000"/>
                <w:sz w:val="20"/>
                <w:szCs w:val="20"/>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征地审查报批</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征地报批材料</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1.县人民政府建设用地的请示；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2.县自然资源主管部门建设用地审查意见；</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、建设用地审查报批有关规定</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w:t>
            </w:r>
            <w:r>
              <w:rPr>
                <w:rStyle w:val="7"/>
                <w:lang w:val="en-US" w:eastAsia="zh-CN" w:bidi="ar"/>
              </w:rPr>
              <w:t>20个工作日</w:t>
            </w:r>
            <w:r>
              <w:rPr>
                <w:rStyle w:val="9"/>
                <w:lang w:val="en-US" w:eastAsia="zh-CN" w:bidi="ar"/>
              </w:rPr>
              <w:t>内公开</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县自然资源主管部门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县自然资源局依申请公开受理机构</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政府用地报批时拟定的“一书四方案”（建设用地项目呈报说明书、农用地转用方案、补充耕地方案、征收土地方案、供地方案；城市建设用地为“一书三方案”，即建设用地项目呈报说明书、农用地转用方案、补充耕地方案、征收土地方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w:t>
            </w:r>
            <w:bookmarkStart w:id="6" w:name="_GoBack"/>
            <w:bookmarkEnd w:id="6"/>
            <w:r>
              <w:rPr>
                <w:rFonts w:hint="eastAsia" w:ascii="宋体" w:hAnsi="宋体" w:cs="宋体"/>
                <w:i w:val="0"/>
                <w:color w:val="000000"/>
                <w:kern w:val="0"/>
                <w:sz w:val="20"/>
                <w:szCs w:val="20"/>
                <w:u w:val="none"/>
                <w:lang w:val="en-US" w:eastAsia="zh-CN" w:bidi="ar"/>
              </w:rPr>
              <w:t>广西壮族自治区</w:t>
            </w:r>
            <w:r>
              <w:rPr>
                <w:rFonts w:hint="eastAsia" w:ascii="宋体" w:hAnsi="宋体" w:eastAsia="宋体" w:cs="宋体"/>
                <w:i w:val="0"/>
                <w:color w:val="000000"/>
                <w:kern w:val="0"/>
                <w:sz w:val="20"/>
                <w:szCs w:val="20"/>
                <w:u w:val="none"/>
                <w:lang w:val="en-US" w:eastAsia="zh-CN" w:bidi="ar"/>
              </w:rPr>
              <w:t>国土资源厅办公室关于印发《广西壮族自治区征地信息公开平台建设实施方案》的通知、建设用地审查报批有关规定；</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w:t>
            </w:r>
            <w:r>
              <w:rPr>
                <w:rStyle w:val="7"/>
                <w:lang w:val="en-US" w:eastAsia="zh-CN" w:bidi="ar"/>
              </w:rPr>
              <w:t>20个工作日</w:t>
            </w:r>
            <w:r>
              <w:rPr>
                <w:rStyle w:val="9"/>
                <w:lang w:val="en-US" w:eastAsia="zh-CN" w:bidi="ar"/>
              </w:rPr>
              <w:t>内公开</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县自然资源主管部门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9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征地审查报批</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征地批准文件</w:t>
            </w:r>
          </w:p>
        </w:tc>
        <w:tc>
          <w:tcPr>
            <w:tcW w:w="5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有批准权人民政府批准用地的批复文件、地方人民政府转发批复文件应予以公开。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1.国务院批准用地批复文件（指用地由国务院批准）；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2.省级（自治区）人民政府批准用地批复文件（指用地由省级（自治区）人民政府批准）；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3.国务院批准城市用地后省级人民政府审核同意实施方案文件；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4.地方人民政府转发用地批复文件；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、建设用地审查报批有关规定</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收到征地批准文件之日起</w:t>
            </w:r>
            <w:r>
              <w:rPr>
                <w:rStyle w:val="7"/>
                <w:lang w:val="en-US" w:eastAsia="zh-CN" w:bidi="ar"/>
              </w:rPr>
              <w:t>20个工作日</w:t>
            </w:r>
            <w:r>
              <w:rPr>
                <w:rStyle w:val="8"/>
                <w:lang w:val="en-US" w:eastAsia="zh-CN" w:bidi="ar"/>
              </w:rPr>
              <w:t>内公开</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县自然资源主管部门</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征地信息公开平台</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征地组织实施</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征收土地公告</w:t>
            </w:r>
          </w:p>
        </w:tc>
        <w:tc>
          <w:tcPr>
            <w:tcW w:w="5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根据用地批复文件，县人民政府拟定征收土地公告并予以公开。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1.征地批准机关、批准文号、批准时间、征收用途；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2.被征地土地的所有权人、位置、区片、地类、面积；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3.土地补偿费标准、安置补助费标准以及地上附着物和青苗等的补偿标准；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4.安置方式和社会保障。</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《政府信息公开条例》《土地管理法》（第三次修正）</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自该信息形成或者收到之日起20个工作日内。</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县人民政府及自然资源、人力资源和社会保障主管部门以及负责实施农村集体土地征收的有关部门（含乡镇政府等）</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征地信息公开平台      </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5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收到之日起5个工作日内，在村公示栏公开。</w:t>
            </w: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社区╱企事业单位╱乡（镇）和村、村民小组公示栏（电子屏）</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拟征收土地的所有权人、使用权人</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rPr>
          <w:rFonts w:ascii="微软雅黑" w:hAnsi="微软雅黑" w:eastAsia="微软雅黑" w:cs="微软雅黑"/>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41974"/>
    <w:rsid w:val="0006144D"/>
    <w:rsid w:val="00157ACB"/>
    <w:rsid w:val="00227A56"/>
    <w:rsid w:val="00281E29"/>
    <w:rsid w:val="00313824"/>
    <w:rsid w:val="00361E9F"/>
    <w:rsid w:val="00492AA3"/>
    <w:rsid w:val="005048CB"/>
    <w:rsid w:val="00680AE6"/>
    <w:rsid w:val="006C6BFE"/>
    <w:rsid w:val="007818D1"/>
    <w:rsid w:val="00976829"/>
    <w:rsid w:val="009C3AB1"/>
    <w:rsid w:val="00A0265A"/>
    <w:rsid w:val="00A802D1"/>
    <w:rsid w:val="00CD13C6"/>
    <w:rsid w:val="00D36E05"/>
    <w:rsid w:val="00DC6351"/>
    <w:rsid w:val="00F546FB"/>
    <w:rsid w:val="00F6155F"/>
    <w:rsid w:val="00FB66DB"/>
    <w:rsid w:val="167B78AA"/>
    <w:rsid w:val="266A7488"/>
    <w:rsid w:val="2BA97395"/>
    <w:rsid w:val="36081FAD"/>
    <w:rsid w:val="3BD66828"/>
    <w:rsid w:val="45423447"/>
    <w:rsid w:val="56B0193C"/>
    <w:rsid w:val="5E212D17"/>
    <w:rsid w:val="65041974"/>
    <w:rsid w:val="682425E2"/>
    <w:rsid w:val="6B63497F"/>
    <w:rsid w:val="7E71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toc 1"/>
    <w:basedOn w:val="1"/>
    <w:next w:val="1"/>
    <w:uiPriority w:val="0"/>
  </w:style>
  <w:style w:type="table" w:customStyle="1" w:styleId="6">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character" w:customStyle="1" w:styleId="7">
    <w:name w:val="font41"/>
    <w:basedOn w:val="4"/>
    <w:uiPriority w:val="0"/>
    <w:rPr>
      <w:rFonts w:hint="eastAsia" w:ascii="宋体" w:hAnsi="宋体" w:eastAsia="宋体" w:cs="宋体"/>
      <w:color w:val="FF0000"/>
      <w:sz w:val="20"/>
      <w:szCs w:val="20"/>
      <w:u w:val="none"/>
    </w:rPr>
  </w:style>
  <w:style w:type="character" w:customStyle="1" w:styleId="8">
    <w:name w:val="font71"/>
    <w:basedOn w:val="4"/>
    <w:uiPriority w:val="0"/>
    <w:rPr>
      <w:rFonts w:ascii="font-weight : 400" w:hAnsi="font-weight : 400" w:eastAsia="font-weight : 400" w:cs="font-weight : 400"/>
      <w:color w:val="000000"/>
      <w:sz w:val="20"/>
      <w:szCs w:val="20"/>
      <w:u w:val="none"/>
    </w:rPr>
  </w:style>
  <w:style w:type="character" w:customStyle="1" w:styleId="9">
    <w:name w:val="font21"/>
    <w:basedOn w:val="4"/>
    <w:qFormat/>
    <w:uiPriority w:val="0"/>
    <w:rPr>
      <w:rFonts w:hint="default"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Words>
  <Characters>592</Characters>
  <Lines>4</Lines>
  <Paragraphs>1</Paragraphs>
  <TotalTime>0</TotalTime>
  <ScaleCrop>false</ScaleCrop>
  <LinksUpToDate>false</LinksUpToDate>
  <CharactersWithSpaces>694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2020-10-26T02:14:00Z</dcterms:created>
  <dc:creator>若即若离</dc:creator>
  <cp:lastModifiedBy>周洁</cp:lastModifiedBy>
  <cp:lastPrinted>2020-11-16T09:20:00Z</cp:lastPrinted>
  <dcterms:modified xsi:type="dcterms:W3CDTF">2022-07-08T00:54:44Z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