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800" w:beforeAutospacing="0" w:after="900" w:afterAutospacing="0" w:line="586" w:lineRule="exact"/>
        <w:jc w:val="center"/>
        <w:textAlignment w:val="auto"/>
        <w:rPr>
          <w:rFonts w:hint="eastAsia" w:ascii="方正小标宋_GBK" w:hAnsi="方正小标宋_GBK" w:eastAsia="方正小标宋_GBK" w:cs="方正小标宋_GBK"/>
          <w:b/>
          <w:bCs/>
          <w:color w:val="FF0000"/>
          <w:sz w:val="60"/>
          <w:szCs w:val="60"/>
        </w:rPr>
      </w:pPr>
      <w:r>
        <w:rPr>
          <w:rFonts w:hint="eastAsia" w:ascii="方正小标宋_GBK" w:hAnsi="方正小标宋_GBK" w:eastAsia="方正小标宋_GBK" w:cs="方正小标宋_GBK"/>
          <w:b/>
          <w:bCs/>
          <w:color w:val="FF0000"/>
          <w:kern w:val="0"/>
          <w:sz w:val="60"/>
          <w:szCs w:val="60"/>
          <w:lang w:val="en-US" w:eastAsia="zh-CN" w:bidi="ar"/>
        </w:rPr>
        <w:t>财政部、公安部、市场监管总局</w:t>
      </w:r>
    </w:p>
    <w:p>
      <w:pPr>
        <w:keepNext w:val="0"/>
        <w:keepLines w:val="0"/>
        <w:pageBreakBefore w:val="0"/>
        <w:widowControl/>
        <w:suppressLineNumbers w:val="0"/>
        <w:kinsoku/>
        <w:wordWrap/>
        <w:overflowPunct/>
        <w:topLinePunct w:val="0"/>
        <w:autoSpaceDE/>
        <w:autoSpaceDN/>
        <w:bidi w:val="0"/>
        <w:adjustRightInd/>
        <w:snapToGrid/>
        <w:spacing w:before="1200" w:beforeAutospacing="0" w:after="150" w:afterAutospacing="0" w:line="586" w:lineRule="exact"/>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财库〔2025〕14号</w:t>
      </w:r>
    </w:p>
    <w:p>
      <w:pPr>
        <w:keepNext w:val="0"/>
        <w:keepLines w:val="0"/>
        <w:pageBreakBefore w:val="0"/>
        <w:widowControl/>
        <w:suppressLineNumbers w:val="0"/>
        <w:pBdr>
          <w:top w:val="single" w:color="FF0000" w:sz="18" w:space="30"/>
        </w:pBdr>
        <w:kinsoku/>
        <w:wordWrap/>
        <w:overflowPunct/>
        <w:topLinePunct w:val="0"/>
        <w:autoSpaceDE/>
        <w:autoSpaceDN/>
        <w:bidi w:val="0"/>
        <w:adjustRightInd/>
        <w:snapToGrid/>
        <w:spacing w:before="1800" w:beforeAutospacing="0" w:after="150" w:afterAutospacing="0" w:line="586" w:lineRule="exact"/>
        <w:jc w:val="center"/>
        <w:textAlignment w:val="auto"/>
        <w:rPr>
          <w:rFonts w:hint="eastAsia" w:ascii="黑体" w:hAnsi="黑体" w:eastAsia="黑体" w:cs="黑体"/>
          <w:color w:val="000000"/>
          <w:sz w:val="30"/>
          <w:szCs w:val="30"/>
        </w:rPr>
      </w:pPr>
      <w:r>
        <w:rPr>
          <w:rFonts w:hint="eastAsia" w:ascii="黑体" w:hAnsi="黑体" w:eastAsia="黑体" w:cs="黑体"/>
          <w:color w:val="000000"/>
          <w:kern w:val="0"/>
          <w:sz w:val="30"/>
          <w:szCs w:val="30"/>
          <w:lang w:val="en-US" w:eastAsia="zh-CN" w:bidi="ar"/>
        </w:rPr>
        <w:t>财政部、公安部、市场监管总局关于开展2025年政府采购领域“四类”违法违规行为专项整治工作的通知</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省、自治区、直辖市、计划单列市财政厅（局）、公安厅（局）、市场监管局（厅、委），新疆生产建设兵团财政局、公安局、市场监管局：</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为贯彻落实《国务院办公厅关于印发&lt;政府采购领域“整顿市场秩序、建设法规体系、促进产业发展”三年行动方案（2024—2026年）&gt;的通知》（国办发〔2024〕33号）要求，财政部会同公安部、市场监管总局于2024年首次联合开展政府采购领域“四类”违法违规行为专项整治工作。从一年来的执行情况看，专项整治工作取得明显成效，“四类”违法违规行为高发态势得到初步遏制，政府采购营商环境得到改善。2025年是三年专项整治承上启下的关键一年，财政部、公安部和市场监管总局决定继续联合开展专项整治工作，进一步规范政府采购市场秩序，巩固拓展前期整治成果。现就2025年专项整治工作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rPr>
          <w:rFonts w:hint="eastAsia" w:ascii="黑体" w:hAnsi="黑体" w:eastAsia="黑体" w:cs="黑体"/>
          <w:sz w:val="32"/>
          <w:szCs w:val="32"/>
        </w:rPr>
      </w:pPr>
      <w:r>
        <w:rPr>
          <w:rStyle w:val="5"/>
          <w:rFonts w:hint="eastAsia" w:ascii="黑体" w:hAnsi="黑体" w:eastAsia="黑体" w:cs="黑体"/>
          <w:b w:val="0"/>
          <w:bCs w:val="0"/>
          <w:spacing w:val="7"/>
          <w:sz w:val="32"/>
          <w:szCs w:val="32"/>
        </w:rPr>
        <w:t>一、工作重点</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聚焦当前政府采购领域反映突出的采购人设置差别歧视条款、代理机构乱收费、供应商提供虚假材料、供应商围标串标等“四类”违法违规行为开展专项整治。整治的重点内容为：采购人倾斜照顾本地企业，指向特定供应商或特定产品，以供应商注册地、所有制形式、组织形式、股权结构、投资者国别、经营年限、经营规模、财务指标等不合理条件对供应商实行差别歧视待遇；代理机构违规收费、逾期退还保证金；供应商提供虚假的检测报告、认证证书、合同业绩、中小企业声明函等材料谋取中标；供应商投标文件相互混装、异常一致，投标保证金从同一账户转出，委托同一单位或个人编制投标文件、办理投标事宜等恶意串通行为。</w:t>
      </w: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line="586" w:lineRule="exact"/>
        <w:ind w:left="0" w:firstLine="420"/>
        <w:textAlignment w:val="auto"/>
        <w:rPr>
          <w:rStyle w:val="5"/>
          <w:rFonts w:hint="eastAsia" w:ascii="黑体" w:hAnsi="黑体" w:eastAsia="黑体" w:cs="黑体"/>
          <w:b w:val="0"/>
          <w:bCs w:val="0"/>
          <w:spacing w:val="7"/>
          <w:sz w:val="32"/>
          <w:szCs w:val="32"/>
        </w:rPr>
      </w:pPr>
      <w:r>
        <w:rPr>
          <w:rStyle w:val="5"/>
          <w:rFonts w:hint="eastAsia" w:ascii="黑体" w:hAnsi="黑体" w:eastAsia="黑体" w:cs="黑体"/>
          <w:b w:val="0"/>
          <w:bCs w:val="0"/>
          <w:spacing w:val="7"/>
          <w:sz w:val="32"/>
          <w:szCs w:val="32"/>
        </w:rPr>
        <w:t>工作原则</w:t>
      </w:r>
    </w:p>
    <w:p>
      <w:pPr>
        <w:pStyle w:val="2"/>
        <w:keepNext w:val="0"/>
        <w:keepLines w:val="0"/>
        <w:pageBreakBefore w:val="0"/>
        <w:widowControl/>
        <w:numPr>
          <w:numId w:val="0"/>
        </w:numPr>
        <w:suppressLineNumbers w:val="0"/>
        <w:kinsoku/>
        <w:wordWrap/>
        <w:overflowPunct/>
        <w:topLinePunct w:val="0"/>
        <w:autoSpaceDE/>
        <w:autoSpaceDN/>
        <w:bidi w:val="0"/>
        <w:adjustRightInd/>
        <w:snapToGrid/>
        <w:spacing w:line="586" w:lineRule="exact"/>
        <w:ind w:right="0" w:rightChars="0" w:firstLine="66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一）坚持问题导向。聚焦当前政府采购领域存在的“四类”突出问题，明确专项整治重点任务，采取坚决有力措施纠治违法违规行为，发现一起、查处一起，曝光典型案例，强化震慑效应，推动政府采购营商环境持续优化。</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（二）坚持协同共治。着力完善部门协同、央地联动、社会参与的工作机制，贯通融合行业监管、社会监督等多种方式，推动各方力量有效集成、同频共振，不断增强政府采购监管的系统性、整体性、协同性。</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三）坚持标本兼治。坚持“当下改”和“长久立”相结合，既聚焦当前突出问题，精准施策、靶向发力，确保问题整改见行见效；又着眼长远治理需求，以点带面、举一反三，加强制度建设，切实堵塞监管漏洞。</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rPr>
          <w:rFonts w:hint="eastAsia" w:ascii="黑体" w:hAnsi="黑体" w:eastAsia="黑体" w:cs="黑体"/>
          <w:sz w:val="32"/>
          <w:szCs w:val="32"/>
        </w:rPr>
      </w:pPr>
      <w:r>
        <w:rPr>
          <w:rStyle w:val="5"/>
          <w:rFonts w:hint="eastAsia" w:ascii="黑体" w:hAnsi="黑体" w:eastAsia="黑体" w:cs="黑体"/>
          <w:b w:val="0"/>
          <w:bCs w:val="0"/>
          <w:spacing w:val="7"/>
          <w:sz w:val="32"/>
          <w:szCs w:val="32"/>
        </w:rPr>
        <w:t>三、任务分工</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财政部会同公安部、市场监管总局牵头组织2025年专项整治工作，分工协作、各司其职、合力推进。财政部负责制定工作指引（电子版另发），规范工作流程、细化检查内容、统一处理处罚标准，并对中央本级政府采购活动实施重点检查。对于检查中发现的虚假检验检测报告、认证证书等线索无法查证的，移交市场监管总局协助核实，情况属实的，财政部依法作出处罚。对供应商串通投标，涉嫌构成犯罪的案件移送公安部，由公安机关依法追究刑事责任；对依法不需要追究刑事责任或免予刑事处罚，但应当给予行政处罚的，财政部依法作出处罚。省市县三级财政部门、公安部门、市场监管部门参照上述分工，组织本级专项整治工作，上级部门加强对下级部门的督导。</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rPr>
          <w:rFonts w:hint="eastAsia" w:ascii="黑体" w:hAnsi="黑体" w:eastAsia="黑体" w:cs="黑体"/>
          <w:sz w:val="32"/>
          <w:szCs w:val="32"/>
        </w:rPr>
      </w:pPr>
      <w:r>
        <w:rPr>
          <w:rStyle w:val="5"/>
          <w:rFonts w:hint="eastAsia" w:ascii="黑体" w:hAnsi="黑体" w:eastAsia="黑体" w:cs="黑体"/>
          <w:b w:val="0"/>
          <w:bCs w:val="0"/>
          <w:spacing w:val="7"/>
          <w:sz w:val="32"/>
          <w:szCs w:val="32"/>
        </w:rPr>
        <w:t>四、工作步骤</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2025年专项整治工作全面落实《国务院办公厅关于严格规范涉企行政检查的意见》（国办发〔2024〕54号）和《政府采购代理机构监督检查暂行办法》（财库〔2024〕27号，以下简称《暂行办法》）要求。中央以及省市县四级财政部门分别对开展本级政府采购业务的代理机构实施检查，严格履行行政检查审批程序，实行代理机构分级分类检查制度。专项整治工作自2025年6月开始，至2026年1月底结束。具体分阶段安排如下：</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一）筛选名单。各省、自治区、直辖市财政部门结合中国政府采购网的统计数据信息，归集在本辖区进行工商登记注册且具有独立法人资格的代理机构全国执业数据信息，按照《暂行办法》第七条、第八条、第十条规定，合理确定“一年一查”、“三年一查”、“新登记”三类代理机构名单。各级财政部门按照第九条、第十一条规定，合理确定“重点检查”、“五年一查”两类代理机构名单。</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1.对符合“一年一查”条件的代理机构，应全部纳入本次检查范围，由省、自治区、直辖市财政部门组织相关财政部门统筹实施。</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2.对符合“三年一查”条件的代理机构，应抽取三分之一的此类代理机构纳入本次检查范围，由省、自治区、直辖市财政部门组织相关财政部门统筹实施。</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3.对符合“新登记”条件的代理机构，即2023年以来在中国政府采购网省级分网进行名录登记的代理机构，且2024年其代理的政府采购项目已产生中标成交结果的，应纳入本次检查范围，由采购项目所属预算级次的财政部门实施检查。</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4.对符合“重点检查”条件的代理机构，应全部纳入本次检查范围，由将其列为“重点检查”对象的财政部门实施检查。</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5.对符合“五年一查”条件的代理机构，应抽取五分之一的此类代理机构纳入本次检查范围，由采购项目所属预算级次的财政部门实施检查。</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财政部选取北京、内蒙古、广东、广西等4个省（自治区、直辖市）的12家代理机构进行检查，相关省级财政部门不再对其进行重复检查。省级财政部门按照上述五类筛选标准，汇总形成本辖区代理机构检查名单，对于同时符合两类以上筛选标准的代理机构不作重复统计。此阶段工作应于2025年6月30日前完成。</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二）开展自查。财政部门向被抽查的代理机构送达《行政检查通知书》。代理机构收到检查通知后，按要求向财政部门报送其在2024年度内代理的所有政府采购项目清单。财政部门结合投诉举报线索，聚焦重点领域、重点行业、重点项目，抽取本级政府采购项目（原则上每家代理机构抽取的项目不少于5个），并通知相关代理机构。代理机构根据通知要求开展自查，形成自查报告，并将被抽查项目的相关文件、数据和资料一并报送财政部门。此阶段工作应于2025年7月15日前完成。</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三）书面审查。财政部门对代理机构提交的政府采购项目资料和自查报告进行书面审查，初步梳理检查项目中存在的“四类”违法违规问题，按照统一格式编制工作底稿，并将相关证明材料作为附件。此阶段工作应于2025年8月15日前完成。</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四）现场检查。结合书面审查发现的问题，财政部门进一步对代理机构实施现场检查，核实相关资料，调阅评审录音录像，查看保证金和服务费等收取情况，补充完善工作底稿，并按要求填写《行政检查情况记录表》，与代理机构充分沟通后由其签字盖章确认。此阶段工作应于2025年9月15日前完成。</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五）延伸核查。财政部门对前期检查中发现的采购人、供应商违法违规线索进行延伸核查，向相关当事人、第三方等进一步补充调取证据材料，必要时会同公安部门、市场监管部门核实相关违法犯罪线索，确保案件事实清楚、证据确实充分。此阶段工作应于2025年10月15日前完成。</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六）处理处罚。财政部门严格履行法定程序，依职权对采购人、代理机构和供应商的违法违规行为作出处理处罚，在省级以上财政部门指定的媒体发布处理处罚信息。省级财政部门汇总本辖区处理处罚信息，财政部汇总全国处理处罚综合信息。此阶段工作应于2025年11月30日前完成。</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七）总结报告。各级财政部门形成本级专项整治工作报告，省级财政部门于2025年12月底前形成并报送本辖区的专项整治工作报告，财政部汇总形成全国专项整治工作报告。财政部门及时将工作报告向同级公安部门、市场监管部门反馈。此阶段工作应于2026年1月31日前完成。</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ind w:left="0" w:firstLine="420"/>
        <w:textAlignment w:val="auto"/>
        <w:rPr>
          <w:rFonts w:hint="eastAsia" w:ascii="黑体" w:hAnsi="黑体" w:eastAsia="黑体" w:cs="黑体"/>
          <w:sz w:val="32"/>
          <w:szCs w:val="32"/>
        </w:rPr>
      </w:pPr>
      <w:r>
        <w:rPr>
          <w:rStyle w:val="5"/>
          <w:rFonts w:hint="eastAsia" w:ascii="黑体" w:hAnsi="黑体" w:eastAsia="黑体" w:cs="黑体"/>
          <w:b w:val="0"/>
          <w:bCs w:val="0"/>
          <w:spacing w:val="7"/>
          <w:sz w:val="32"/>
          <w:szCs w:val="32"/>
        </w:rPr>
        <w:t>五、工作要求</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一）压实工作责任。省级财政部门要强化组织领导，结合本地实际科学制定工作方案，周密部署落实。严格按照时间节点深入推进各项工作，按阶段安排向财政部报送进展情况，及时总结经验做法、典型案例，查找问题不足，研提对策建议等，确保整治工作有序推进落实。</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二）深化部门协同。财政部门要加强与公安部门、市场监管部门的沟通协调，深化与公安部门行刑衔接，严厉打击围标串标等违法犯罪行为；强化与市场监管部门协作联动，畅通第三方机构协助调证通道，提高认证证书、检验检测报告线上线下核验的便捷性。</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　　（三）创新监管手段。财政部门要积极顺应数字化发展趋势，大力推进智慧监管，深度运用大数据分析、行为预警等数字化手段，聚焦供应商投标和专家评审等关键环节，及时发现潜在风险，精准筛查围标串标等疑点线索，以科技信息手段破解政府采购监管难题。</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7"/>
          <w:sz w:val="32"/>
          <w:szCs w:val="32"/>
        </w:rPr>
        <w:t>财 政</w:t>
      </w: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7"/>
          <w:sz w:val="32"/>
          <w:szCs w:val="32"/>
        </w:rPr>
        <w:t>部</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7"/>
          <w:sz w:val="32"/>
          <w:szCs w:val="32"/>
        </w:rPr>
        <w:t>公 安</w:t>
      </w: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7"/>
          <w:sz w:val="32"/>
          <w:szCs w:val="32"/>
        </w:rPr>
        <w:t>部</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7"/>
          <w:sz w:val="32"/>
          <w:szCs w:val="32"/>
        </w:rPr>
        <w:t>市场监管总局</w:t>
      </w:r>
    </w:p>
    <w:p>
      <w:pPr>
        <w:pStyle w:val="2"/>
        <w:keepNext w:val="0"/>
        <w:keepLines w:val="0"/>
        <w:pageBreakBefore w:val="0"/>
        <w:widowControl/>
        <w:suppressLineNumbers w:val="0"/>
        <w:kinsoku/>
        <w:wordWrap/>
        <w:overflowPunct/>
        <w:topLinePunct w:val="0"/>
        <w:autoSpaceDE/>
        <w:autoSpaceDN/>
        <w:bidi w:val="0"/>
        <w:adjustRightInd/>
        <w:snapToGrid/>
        <w:spacing w:line="586"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7"/>
          <w:sz w:val="32"/>
          <w:szCs w:val="32"/>
        </w:rPr>
        <w:t>2025年6月19日</w:t>
      </w:r>
    </w:p>
    <w:p>
      <w:pPr>
        <w:keepNext w:val="0"/>
        <w:keepLines w:val="0"/>
        <w:pageBreakBefore w:val="0"/>
        <w:kinsoku/>
        <w:wordWrap/>
        <w:overflowPunct/>
        <w:topLinePunct w:val="0"/>
        <w:autoSpaceDE/>
        <w:autoSpaceDN/>
        <w:bidi w:val="0"/>
        <w:adjustRightInd/>
        <w:snapToGrid/>
        <w:spacing w:line="586" w:lineRule="exact"/>
        <w:textAlignment w:val="auto"/>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916F25"/>
    <w:multiLevelType w:val="singleLevel"/>
    <w:tmpl w:val="A3916F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72DD2"/>
    <w:rsid w:val="05944F91"/>
    <w:rsid w:val="0BD72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2025-06-25T08:54:00Z</dcterms:created>
  <dc:creator>cz12L</dc:creator>
  <cp:lastModifiedBy>Administrator</cp:lastModifiedBy>
  <dcterms:modified xsi:type="dcterms:W3CDTF">2025-06-26T02:16:43Z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12AF539B7FCC401786BDF78E6552364F</vt:lpwstr>
  </property>
</Properties>
</file>