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0" w:firstLineChars="1000"/>
        <w:jc w:val="right"/>
        <w:rPr>
          <w:rFonts w:hint="default" w:eastAsia="宋体"/>
          <w:color w:val="auto"/>
          <w:sz w:val="32"/>
          <w:szCs w:val="32"/>
          <w:lang w:val="en-US" w:eastAsia="zh-CN"/>
        </w:rPr>
      </w:pPr>
      <w:r>
        <w:rPr>
          <w:rFonts w:hint="eastAsia" w:ascii="仿宋_GB2312" w:hAnsi="宋体" w:cs="宋体"/>
          <w:color w:val="auto"/>
          <w:kern w:val="0"/>
          <w:sz w:val="32"/>
          <w:szCs w:val="32"/>
          <w:lang w:val="en-US" w:eastAsia="zh-CN"/>
        </w:rPr>
        <w:t>452036001001</w:t>
      </w:r>
    </w:p>
    <w:p/>
    <w:p/>
    <w:p/>
    <w:p/>
    <w:p/>
    <w:p/>
    <w:p/>
    <w:p/>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门诊特殊慢性病定点医疗机构变更、扩诊申请</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jc w:val="center"/>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hint="eastAsia" w:ascii="仿宋_GB2312" w:hAnsi="仿宋_GB2312" w:eastAsia="仿宋_GB2312" w:cs="仿宋_GB2312"/>
          <w:sz w:val="32"/>
          <w:szCs w:val="32"/>
        </w:rPr>
      </w:pPr>
    </w:p>
    <w:p>
      <w:pPr>
        <w:spacing w:after="312" w:afterLines="100" w:line="480" w:lineRule="auto"/>
        <w:jc w:val="center"/>
        <w:rPr>
          <w:rFonts w:hint="eastAsia" w:ascii="仿宋_GB2312" w:hAnsi="仿宋_GB2312" w:eastAsia="仿宋_GB2312" w:cs="仿宋_GB2312"/>
          <w:sz w:val="28"/>
          <w:szCs w:val="28"/>
        </w:rPr>
      </w:pPr>
    </w:p>
    <w:p>
      <w:pPr>
        <w:pStyle w:val="2"/>
        <w:rPr>
          <w:rFonts w:hint="eastAsia"/>
        </w:rPr>
      </w:pPr>
    </w:p>
    <w:p>
      <w:pPr>
        <w:rPr>
          <w:rFonts w:hint="eastAsia"/>
        </w:rPr>
      </w:pPr>
    </w:p>
    <w:p>
      <w:pPr>
        <w:pStyle w:val="2"/>
        <w:keepNext w:val="0"/>
        <w:keepLines w:val="0"/>
        <w:pageBreakBefore w:val="0"/>
        <w:widowControl w:val="0"/>
        <w:kinsoku/>
        <w:wordWrap/>
        <w:overflowPunct/>
        <w:topLinePunct w:val="0"/>
        <w:autoSpaceDE/>
        <w:autoSpaceDN/>
        <w:bidi w:val="0"/>
        <w:adjustRightInd/>
        <w:snapToGrid/>
        <w:spacing w:before="0"/>
        <w:textAlignment w:val="auto"/>
        <w:rPr>
          <w:rFonts w:hint="eastAsia" w:ascii="仿宋_GB2312" w:hAnsi="仿宋_GB2312" w:eastAsia="仿宋_GB2312" w:cs="仿宋_GB2312"/>
          <w:sz w:val="28"/>
          <w:szCs w:val="28"/>
        </w:rPr>
      </w:pPr>
    </w:p>
    <w:p>
      <w:pPr>
        <w:rPr>
          <w:rFonts w:hint="eastAsia"/>
        </w:rPr>
      </w:pP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hint="default" w:ascii="黑体" w:hAnsi="黑体" w:eastAsia="宋体" w:cs="黑体"/>
          <w:color w:val="auto"/>
          <w:sz w:val="32"/>
          <w:szCs w:val="32"/>
          <w:lang w:val="en-US" w:eastAsia="zh-CN"/>
        </w:rPr>
      </w:pPr>
      <w:r>
        <w:rPr>
          <w:rFonts w:hint="eastAsia" w:ascii="仿宋_GB2312" w:hAnsi="宋体" w:cs="宋体"/>
          <w:color w:val="auto"/>
          <w:kern w:val="0"/>
          <w:sz w:val="32"/>
          <w:szCs w:val="32"/>
          <w:lang w:val="en-US" w:eastAsia="zh-CN"/>
        </w:rPr>
        <w:t>452036001001</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已享受门诊特殊慢性病待遇的参保人员</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《广西壮族自治区医疗保障局关于印发广西基本医疗保险门诊特殊慢性病管理办法的通知》(桂医保规〔2022〕2号)第十五条</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both"/>
        <w:textAlignment w:val="auto"/>
        <w:rPr>
          <w:rFonts w:hint="default"/>
          <w:color w:val="auto"/>
          <w:lang w:val="en-US" w:eastAsia="zh-CN"/>
        </w:rPr>
      </w:pPr>
      <w:r>
        <w:rPr>
          <w:rFonts w:hint="eastAsia" w:ascii="仿宋_GB2312" w:hAnsi="仿宋_GB2312" w:eastAsia="仿宋_GB2312" w:cs="仿宋_GB2312"/>
          <w:color w:val="auto"/>
          <w:sz w:val="32"/>
          <w:szCs w:val="32"/>
          <w:lang w:val="en-US" w:eastAsia="zh-CN"/>
        </w:rPr>
        <w:t>已享受门诊特殊慢性病待遇的参保人员</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以上情况以外的情形。</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无审批数量限制</w:t>
      </w:r>
    </w:p>
    <w:p>
      <w:pPr>
        <w:keepNext w:val="0"/>
        <w:keepLines w:val="0"/>
        <w:pageBreakBefore w:val="0"/>
        <w:widowControl w:val="0"/>
        <w:numPr>
          <w:ilvl w:val="0"/>
          <w:numId w:val="1"/>
        </w:numPr>
        <w:kinsoku/>
        <w:wordWrap/>
        <w:overflowPunct/>
        <w:topLinePunct w:val="0"/>
        <w:autoSpaceDE/>
        <w:autoSpaceDN/>
        <w:bidi w:val="0"/>
        <w:adjustRightInd/>
        <w:snapToGrid/>
        <w:spacing w:line="640" w:lineRule="exact"/>
        <w:ind w:left="0"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559"/>
        <w:gridCol w:w="1784"/>
        <w:gridCol w:w="1004"/>
        <w:gridCol w:w="1539"/>
        <w:gridCol w:w="1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806"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黑体" w:hAnsi="黑体" w:eastAsia="黑体" w:cs="黑体"/>
                <w:color w:val="000000"/>
                <w:kern w:val="0"/>
                <w:sz w:val="24"/>
                <w:szCs w:val="24"/>
                <w:lang w:val="en-US" w:eastAsia="zh-CN" w:bidi="ar-SA"/>
              </w:rPr>
            </w:pPr>
            <w:r>
              <w:rPr>
                <w:rFonts w:hint="eastAsia" w:ascii="黑体" w:hAnsi="黑体" w:eastAsia="黑体" w:cs="黑体"/>
                <w:color w:val="000000"/>
                <w:kern w:val="0"/>
                <w:sz w:val="24"/>
              </w:rPr>
              <w:t>序号</w:t>
            </w:r>
          </w:p>
        </w:tc>
        <w:tc>
          <w:tcPr>
            <w:tcW w:w="2559"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黑体" w:hAnsi="黑体" w:eastAsia="黑体" w:cs="黑体"/>
                <w:color w:val="000000"/>
                <w:kern w:val="0"/>
                <w:sz w:val="24"/>
                <w:szCs w:val="24"/>
                <w:lang w:val="en-US" w:eastAsia="zh-CN" w:bidi="ar-SA"/>
              </w:rPr>
            </w:pPr>
            <w:r>
              <w:rPr>
                <w:rFonts w:hint="eastAsia" w:ascii="黑体" w:hAnsi="黑体" w:eastAsia="黑体" w:cs="黑体"/>
                <w:sz w:val="24"/>
              </w:rPr>
              <w:t>提交材料名称</w:t>
            </w:r>
          </w:p>
        </w:tc>
        <w:tc>
          <w:tcPr>
            <w:tcW w:w="178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黑体" w:hAnsi="黑体" w:eastAsia="黑体" w:cs="黑体"/>
                <w:color w:val="000000"/>
                <w:kern w:val="0"/>
                <w:sz w:val="24"/>
                <w:szCs w:val="24"/>
                <w:lang w:val="en-US" w:eastAsia="zh-CN" w:bidi="ar-SA"/>
              </w:rPr>
            </w:pPr>
            <w:r>
              <w:rPr>
                <w:rFonts w:hint="eastAsia" w:ascii="黑体" w:hAnsi="黑体" w:eastAsia="黑体" w:cs="黑体"/>
                <w:sz w:val="24"/>
              </w:rPr>
              <w:t>原件</w:t>
            </w:r>
            <w:r>
              <w:rPr>
                <w:rFonts w:hint="eastAsia" w:ascii="黑体" w:hAnsi="黑体" w:eastAsia="黑体" w:cs="黑体"/>
                <w:color w:val="333333"/>
                <w:sz w:val="24"/>
                <w:shd w:val="clear" w:color="auto" w:fill="FFFFFF"/>
              </w:rPr>
              <w:t>/</w:t>
            </w:r>
            <w:r>
              <w:rPr>
                <w:rFonts w:hint="eastAsia" w:ascii="黑体" w:hAnsi="黑体" w:eastAsia="黑体" w:cs="黑体"/>
                <w:sz w:val="24"/>
              </w:rPr>
              <w:t>复印件</w:t>
            </w:r>
          </w:p>
        </w:tc>
        <w:tc>
          <w:tcPr>
            <w:tcW w:w="1004" w:type="dxa"/>
            <w:vAlign w:val="center"/>
          </w:tcPr>
          <w:p>
            <w:pPr>
              <w:keepNext w:val="0"/>
              <w:keepLines w:val="0"/>
              <w:pageBreakBefore w:val="0"/>
              <w:widowControl w:val="0"/>
              <w:kinsoku/>
              <w:wordWrap/>
              <w:overflowPunct/>
              <w:topLinePunct w:val="0"/>
              <w:autoSpaceDE w:val="0"/>
              <w:autoSpaceDN w:val="0"/>
              <w:bidi w:val="0"/>
              <w:adjustRightInd w:val="0"/>
              <w:snapToGrid/>
              <w:spacing w:line="560" w:lineRule="exact"/>
              <w:jc w:val="center"/>
              <w:textAlignment w:val="auto"/>
              <w:rPr>
                <w:rFonts w:hint="eastAsia" w:ascii="黑体" w:hAnsi="黑体" w:eastAsia="黑体" w:cs="黑体"/>
                <w:color w:val="000000"/>
                <w:kern w:val="0"/>
                <w:sz w:val="24"/>
                <w:szCs w:val="24"/>
                <w:lang w:val="en-US" w:eastAsia="zh-CN" w:bidi="ar-SA"/>
              </w:rPr>
            </w:pPr>
            <w:r>
              <w:rPr>
                <w:rFonts w:hint="eastAsia" w:ascii="黑体" w:hAnsi="黑体" w:eastAsia="黑体" w:cs="黑体"/>
                <w:color w:val="000000"/>
                <w:kern w:val="0"/>
                <w:sz w:val="24"/>
              </w:rPr>
              <w:t>份数</w:t>
            </w:r>
          </w:p>
        </w:tc>
        <w:tc>
          <w:tcPr>
            <w:tcW w:w="1539" w:type="dxa"/>
            <w:vAlign w:val="center"/>
          </w:tcPr>
          <w:p>
            <w:pPr>
              <w:keepNext w:val="0"/>
              <w:keepLines w:val="0"/>
              <w:pageBreakBefore w:val="0"/>
              <w:widowControl w:val="0"/>
              <w:kinsoku/>
              <w:wordWrap/>
              <w:overflowPunct/>
              <w:topLinePunct w:val="0"/>
              <w:bidi w:val="0"/>
              <w:snapToGrid/>
              <w:spacing w:line="560" w:lineRule="exact"/>
              <w:jc w:val="center"/>
              <w:textAlignment w:val="auto"/>
              <w:rPr>
                <w:rFonts w:hint="eastAsia" w:ascii="黑体" w:hAnsi="黑体" w:eastAsia="黑体" w:cs="黑体"/>
                <w:kern w:val="2"/>
                <w:sz w:val="24"/>
                <w:szCs w:val="24"/>
                <w:lang w:val="en-US" w:eastAsia="zh-CN" w:bidi="ar-SA"/>
              </w:rPr>
            </w:pPr>
            <w:r>
              <w:rPr>
                <w:rFonts w:hint="eastAsia" w:ascii="黑体" w:hAnsi="黑体" w:eastAsia="黑体" w:cs="黑体"/>
                <w:sz w:val="24"/>
              </w:rPr>
              <w:t>纸质</w:t>
            </w:r>
            <w:r>
              <w:rPr>
                <w:rFonts w:hint="eastAsia" w:ascii="黑体" w:hAnsi="黑体" w:eastAsia="黑体" w:cs="黑体"/>
                <w:color w:val="333333"/>
                <w:sz w:val="24"/>
                <w:shd w:val="clear" w:color="auto" w:fill="FFFFFF"/>
              </w:rPr>
              <w:t>/</w:t>
            </w:r>
            <w:r>
              <w:rPr>
                <w:rFonts w:hint="eastAsia" w:ascii="黑体" w:hAnsi="黑体" w:eastAsia="黑体" w:cs="黑体"/>
                <w:sz w:val="24"/>
              </w:rPr>
              <w:t>电子版</w:t>
            </w:r>
          </w:p>
        </w:tc>
        <w:tc>
          <w:tcPr>
            <w:tcW w:w="1539" w:type="dxa"/>
            <w:vAlign w:val="center"/>
          </w:tcPr>
          <w:p>
            <w:pPr>
              <w:keepNext w:val="0"/>
              <w:keepLines w:val="0"/>
              <w:pageBreakBefore w:val="0"/>
              <w:widowControl w:val="0"/>
              <w:kinsoku/>
              <w:wordWrap/>
              <w:overflowPunct/>
              <w:topLinePunct w:val="0"/>
              <w:bidi w:val="0"/>
              <w:snapToGrid/>
              <w:spacing w:line="560" w:lineRule="exact"/>
              <w:jc w:val="center"/>
              <w:textAlignment w:val="auto"/>
              <w:rPr>
                <w:rFonts w:hint="eastAsia" w:ascii="黑体" w:hAnsi="黑体" w:eastAsia="黑体" w:cs="黑体"/>
                <w:kern w:val="2"/>
                <w:sz w:val="24"/>
                <w:szCs w:val="24"/>
                <w:lang w:val="en-US" w:eastAsia="zh-CN" w:bidi="ar-SA"/>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trPr>
        <w:tc>
          <w:tcPr>
            <w:tcW w:w="80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1</w:t>
            </w:r>
          </w:p>
        </w:tc>
        <w:tc>
          <w:tcPr>
            <w:tcW w:w="25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医保电子凭证或有效身份证件或社保卡（委托他人办理的，还需提供代办人身份证）</w:t>
            </w:r>
          </w:p>
        </w:tc>
        <w:tc>
          <w:tcPr>
            <w:tcW w:w="178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val="en-US" w:eastAsia="zh-CN"/>
              </w:rPr>
              <w:t>原件或复印件</w:t>
            </w:r>
          </w:p>
        </w:tc>
        <w:tc>
          <w:tcPr>
            <w:tcW w:w="100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1</w:t>
            </w:r>
          </w:p>
        </w:tc>
        <w:tc>
          <w:tcPr>
            <w:tcW w:w="153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纸质</w:t>
            </w:r>
          </w:p>
        </w:tc>
        <w:tc>
          <w:tcPr>
            <w:tcW w:w="153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6"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2</w:t>
            </w:r>
          </w:p>
        </w:tc>
        <w:tc>
          <w:tcPr>
            <w:tcW w:w="255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门诊特殊慢性病定点医疗机构变更、扩增申请表</w:t>
            </w:r>
            <w:r>
              <w:rPr>
                <w:rFonts w:hint="eastAsia" w:asciiTheme="minorEastAsia" w:hAnsiTheme="minorEastAsia" w:eastAsiaTheme="minorEastAsia" w:cstheme="minorEastAsia"/>
                <w:color w:val="auto"/>
                <w:sz w:val="24"/>
                <w:szCs w:val="24"/>
                <w:lang w:eastAsia="zh-CN"/>
              </w:rPr>
              <w:t>》</w:t>
            </w:r>
          </w:p>
        </w:tc>
        <w:tc>
          <w:tcPr>
            <w:tcW w:w="178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sz w:val="24"/>
                <w:szCs w:val="24"/>
              </w:rPr>
              <w:t>原件</w:t>
            </w:r>
          </w:p>
        </w:tc>
        <w:tc>
          <w:tcPr>
            <w:tcW w:w="1004"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1</w:t>
            </w:r>
          </w:p>
        </w:tc>
        <w:tc>
          <w:tcPr>
            <w:tcW w:w="153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纸质</w:t>
            </w:r>
          </w:p>
        </w:tc>
        <w:tc>
          <w:tcPr>
            <w:tcW w:w="1539" w:type="dxa"/>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网上办理</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免提供</w:t>
            </w:r>
          </w:p>
        </w:tc>
      </w:tr>
    </w:tbl>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rPr>
        <w:t>办理方式</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（一）参保人在</w:t>
      </w:r>
      <w:r>
        <w:rPr>
          <w:rFonts w:hint="eastAsia" w:ascii="仿宋_GB2312" w:hAnsi="仿宋_GB2312" w:eastAsia="仿宋_GB2312" w:cs="仿宋_GB2312"/>
          <w:sz w:val="32"/>
          <w:szCs w:val="32"/>
          <w:lang w:val="en-US" w:eastAsia="zh-CN"/>
        </w:rPr>
        <w:t>参保地定点医疗机构</w:t>
      </w:r>
      <w:r>
        <w:rPr>
          <w:rFonts w:hint="eastAsia" w:ascii="仿宋_GB2312" w:hAnsi="仿宋_GB2312" w:eastAsia="仿宋_GB2312" w:cs="仿宋_GB2312"/>
          <w:sz w:val="32"/>
          <w:szCs w:val="32"/>
        </w:rPr>
        <w:t>就医：申报材料提交至定点医疗机构医保科</w:t>
      </w:r>
      <w:r>
        <w:rPr>
          <w:rFonts w:hint="eastAsia" w:ascii="仿宋_GB2312" w:hAnsi="仿宋_GB2312" w:eastAsia="仿宋_GB2312" w:cs="仿宋_GB2312"/>
          <w:sz w:val="32"/>
          <w:szCs w:val="32"/>
          <w:lang w:eastAsia="zh-CN"/>
        </w:rPr>
        <w:t>（两定机构医疗保障信息平台）</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（二）参保人在异地就医：（1）</w:t>
      </w:r>
      <w:r>
        <w:rPr>
          <w:rFonts w:hint="eastAsia" w:ascii="仿宋_GB2312" w:hAnsi="仿宋_GB2312" w:eastAsia="仿宋_GB2312" w:cs="仿宋_GB2312"/>
          <w:sz w:val="32"/>
          <w:szCs w:val="32"/>
          <w:lang w:val="en-US" w:eastAsia="zh-CN"/>
        </w:rPr>
        <w:t>窗口办理</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20" w:lineRule="exact"/>
        <w:ind w:firstLine="4480" w:firstLineChars="14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网上</w:t>
      </w:r>
      <w:r>
        <w:rPr>
          <w:rFonts w:hint="eastAsia" w:ascii="仿宋_GB2312" w:hAnsi="仿宋_GB2312" w:eastAsia="仿宋_GB2312" w:cs="仿宋_GB2312"/>
          <w:sz w:val="32"/>
          <w:szCs w:val="32"/>
        </w:rPr>
        <w:t>申报。</w:t>
      </w:r>
    </w:p>
    <w:p>
      <w:pPr>
        <w:keepNext w:val="0"/>
        <w:keepLines w:val="0"/>
        <w:pageBreakBefore w:val="0"/>
        <w:widowControl w:val="0"/>
        <w:kinsoku/>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窗口</w:t>
      </w:r>
      <w:r>
        <w:rPr>
          <w:rFonts w:hint="eastAsia" w:ascii="仿宋_GB2312" w:hAnsi="仿宋_GB2312" w:eastAsia="仿宋_GB2312" w:cs="仿宋_GB2312"/>
          <w:sz w:val="32"/>
          <w:szCs w:val="32"/>
        </w:rPr>
        <w:t>办理：到各级医保经办窗口提交申请材料。</w:t>
      </w:r>
    </w:p>
    <w:p>
      <w:pPr>
        <w:keepNext w:val="0"/>
        <w:keepLines w:val="0"/>
        <w:pageBreakBefore w:val="0"/>
        <w:widowControl w:val="0"/>
        <w:kinsoku/>
        <w:wordWrap w:val="0"/>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（2）网上申报：进入广西数字政务一体化平台</w:t>
      </w:r>
      <w:r>
        <w:rPr>
          <w:rFonts w:hint="eastAsia" w:ascii="仿宋_GB2312" w:hAnsi="仿宋_GB2312" w:eastAsia="仿宋_GB2312" w:cs="仿宋_GB2312"/>
          <w:color w:val="auto"/>
          <w:sz w:val="32"/>
          <w:szCs w:val="32"/>
        </w:rPr>
        <w:t>（http://zwfw.gxzf.gov.cn/）</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广西医保APP、</w:t>
      </w:r>
      <w:r>
        <w:rPr>
          <w:rFonts w:hint="eastAsia" w:ascii="仿宋_GB2312" w:hAnsi="仿宋_GB2312" w:eastAsia="仿宋_GB2312" w:cs="仿宋_GB2312"/>
          <w:sz w:val="32"/>
          <w:szCs w:val="32"/>
        </w:rPr>
        <w:t>广西医保微信公众号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广西医保微信小程序</w:t>
      </w:r>
      <w:r>
        <w:rPr>
          <w:rFonts w:hint="eastAsia" w:ascii="仿宋_GB2312" w:hAnsi="仿宋_GB2312" w:eastAsia="仿宋_GB2312" w:cs="仿宋_GB2312"/>
          <w:color w:val="auto"/>
          <w:sz w:val="32"/>
          <w:szCs w:val="32"/>
        </w:rPr>
        <w:t>申报。</w:t>
      </w:r>
    </w:p>
    <w:tbl>
      <w:tblPr>
        <w:tblStyle w:val="6"/>
        <w:tblpPr w:leftFromText="180" w:rightFromText="180" w:vertAnchor="text" w:horzAnchor="page" w:tblpX="4392" w:tblpY="817"/>
        <w:tblOverlap w:val="never"/>
        <w:tblW w:w="3180" w:type="dxa"/>
        <w:tblInd w:w="0" w:type="dxa"/>
        <w:tblLayout w:type="autofit"/>
        <w:tblCellMar>
          <w:top w:w="0" w:type="dxa"/>
          <w:left w:w="0" w:type="dxa"/>
          <w:bottom w:w="0" w:type="dxa"/>
          <w:right w:w="0" w:type="dxa"/>
        </w:tblCellMar>
      </w:tblPr>
      <w:tblGrid>
        <w:gridCol w:w="3180"/>
      </w:tblGrid>
      <w:tr>
        <w:tblPrEx>
          <w:tblCellMar>
            <w:top w:w="0" w:type="dxa"/>
            <w:left w:w="0" w:type="dxa"/>
            <w:bottom w:w="0" w:type="dxa"/>
            <w:right w:w="0" w:type="dxa"/>
          </w:tblCellMar>
        </w:tblPrEx>
        <w:trPr>
          <w:trHeight w:val="602"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申请</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381"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column">
                        <wp:posOffset>1000125</wp:posOffset>
                      </wp:positionH>
                      <wp:positionV relativeFrom="paragraph">
                        <wp:posOffset>2540</wp:posOffset>
                      </wp:positionV>
                      <wp:extent cx="0" cy="243840"/>
                      <wp:effectExtent l="48895" t="0" r="65405" b="3810"/>
                      <wp:wrapNone/>
                      <wp:docPr id="1" name="直接连接符 1"/>
                      <wp:cNvGraphicFramePr/>
                      <a:graphic xmlns:a="http://schemas.openxmlformats.org/drawingml/2006/main">
                        <a:graphicData uri="http://schemas.microsoft.com/office/word/2010/wordprocessingShape">
                          <wps:wsp>
                            <wps:cNvCnPr/>
                            <wps:spPr>
                              <a:xfrm>
                                <a:off x="0" y="0"/>
                                <a:ext cx="0" cy="24384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8.75pt;margin-top:0.2pt;height:19.2pt;width:0pt;z-index:251659264;mso-width-relative:page;mso-height-relative:page;" filled="f" stroked="t" coordsize="21600,21600" o:gfxdata="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DxBa7i1QAAAAcBAAAPAAAAAAAA&#10;AAEAIAAAADgAAABkcnMvZG93bnJldi54bWxQSwECFAAUAAAACACHTuJA0VEtTf8BAADyAwAADgAA&#10;AAAAAAABACAAAAA6AQAAZHJzL2Uyb0RvYy54bWxQSwUGAAAAAAYABgBZAQAAq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77"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受理</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即时</w:t>
            </w:r>
            <w:r>
              <w:rPr>
                <w:rFonts w:hint="eastAsia" w:asciiTheme="minorEastAsia" w:hAnsiTheme="minorEastAsia" w:eastAsiaTheme="minorEastAsia" w:cstheme="minorEastAsia"/>
                <w:sz w:val="24"/>
                <w:szCs w:val="24"/>
              </w:rPr>
              <w:t>）</w:t>
            </w:r>
          </w:p>
        </w:tc>
      </w:tr>
      <w:tr>
        <w:tblPrEx>
          <w:tblCellMar>
            <w:top w:w="0" w:type="dxa"/>
            <w:left w:w="0" w:type="dxa"/>
            <w:bottom w:w="0" w:type="dxa"/>
            <w:right w:w="0" w:type="dxa"/>
          </w:tblCellMar>
        </w:tblPrEx>
        <w:trPr>
          <w:trHeight w:val="366"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990600</wp:posOffset>
                      </wp:positionH>
                      <wp:positionV relativeFrom="paragraph">
                        <wp:posOffset>3810</wp:posOffset>
                      </wp:positionV>
                      <wp:extent cx="2540" cy="221615"/>
                      <wp:effectExtent l="48260" t="0" r="63500" b="6985"/>
                      <wp:wrapNone/>
                      <wp:docPr id="2" name="直接连接符 2"/>
                      <wp:cNvGraphicFramePr/>
                      <a:graphic xmlns:a="http://schemas.openxmlformats.org/drawingml/2006/main">
                        <a:graphicData uri="http://schemas.microsoft.com/office/word/2010/wordprocessingShape">
                          <wps:wsp>
                            <wps:cNvCnPr/>
                            <wps:spPr>
                              <a:xfrm flipH="1">
                                <a:off x="0" y="0"/>
                                <a:ext cx="2540" cy="22161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8pt;margin-top:0.3pt;height:17.45pt;width:0.2pt;z-index:251660288;mso-width-relative:page;mso-height-relative:page;" filled="f" stroked="t" coordsize="21600,21600" o:gfxdata="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OFvUvvWAAAABwEA&#10;AA8AAAAAAAAAAQAgAAAAOAAAAGRycy9kb3ducmV2LnhtbFBLAQIUABQAAAAIAIdO4kCvUNMZBgIA&#10;AP8DAAAOAAAAAAAAAAEAIAAAADsBAABkcnMvZTJvRG9jLnhtbFBLBQYAAAAABgAGAFkBAACzBQAA&#10;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2"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经办</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即时</w:t>
            </w:r>
            <w:r>
              <w:rPr>
                <w:rFonts w:hint="eastAsia" w:asciiTheme="minorEastAsia" w:hAnsiTheme="minorEastAsia" w:eastAsiaTheme="minorEastAsia" w:cstheme="minorEastAsia"/>
                <w:sz w:val="24"/>
                <w:szCs w:val="24"/>
              </w:rPr>
              <w:t>）</w:t>
            </w:r>
          </w:p>
        </w:tc>
      </w:tr>
      <w:tr>
        <w:tblPrEx>
          <w:tblCellMar>
            <w:top w:w="0" w:type="dxa"/>
            <w:left w:w="0" w:type="dxa"/>
            <w:bottom w:w="0" w:type="dxa"/>
            <w:right w:w="0" w:type="dxa"/>
          </w:tblCellMar>
        </w:tblPrEx>
        <w:trPr>
          <w:trHeight w:val="381" w:hRule="atLeast"/>
        </w:trPr>
        <w:tc>
          <w:tcPr>
            <w:tcW w:w="318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977900</wp:posOffset>
                      </wp:positionH>
                      <wp:positionV relativeFrom="paragraph">
                        <wp:posOffset>-5080</wp:posOffset>
                      </wp:positionV>
                      <wp:extent cx="6985" cy="262255"/>
                      <wp:effectExtent l="46990" t="0" r="60325" b="4445"/>
                      <wp:wrapNone/>
                      <wp:docPr id="5" name="直接连接符 5"/>
                      <wp:cNvGraphicFramePr/>
                      <a:graphic xmlns:a="http://schemas.openxmlformats.org/drawingml/2006/main">
                        <a:graphicData uri="http://schemas.microsoft.com/office/word/2010/wordprocessingShape">
                          <wps:wsp>
                            <wps:cNvCnPr/>
                            <wps:spPr>
                              <a:xfrm flipH="1">
                                <a:off x="0" y="0"/>
                                <a:ext cx="6985" cy="2622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7pt;margin-top:-0.4pt;height:20.65pt;width:0.55pt;z-index:251661312;mso-width-relative:page;mso-height-relative:page;" filled="f" stroked="t" coordsize="21600,21600" o:gfxdata="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3YAmWNUAAAAI&#10;AQAADwAAAAAAAAABACAAAAA4AAAAZHJzL2Rvd25yZXYueG1sUEsBAhQAFAAAAAgAh07iQGEFnSEJ&#10;AgAA/wMAAA4AAAAAAAAAAQAgAAAAOgEAAGRycy9lMm9Eb2MueG1sUEsFBgAAAAAGAAYAWQEAALUF&#10;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80" w:hRule="atLeast"/>
        </w:trPr>
        <w:tc>
          <w:tcPr>
            <w:tcW w:w="318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640" w:firstLineChars="200"/>
        <w:jc w:val="left"/>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firstLine="640" w:firstLineChars="200"/>
        <w:jc w:val="left"/>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流程图</w:t>
      </w:r>
    </w:p>
    <w:p>
      <w:pPr>
        <w:pStyle w:val="2"/>
      </w:pPr>
    </w:p>
    <w:p>
      <w:pPr>
        <w:rPr>
          <w:sz w:val="30"/>
          <w:szCs w:val="30"/>
        </w:rPr>
      </w:pPr>
    </w:p>
    <w:p>
      <w:pPr>
        <w:pStyle w:val="2"/>
        <w:rPr>
          <w:sz w:val="30"/>
          <w:szCs w:val="30"/>
        </w:rPr>
      </w:pPr>
    </w:p>
    <w:p>
      <w:pPr>
        <w:rPr>
          <w:sz w:val="30"/>
          <w:szCs w:val="30"/>
        </w:rPr>
      </w:pPr>
    </w:p>
    <w:p>
      <w:pPr>
        <w:pStyle w:val="2"/>
        <w:keepNext w:val="0"/>
        <w:keepLines w:val="0"/>
        <w:pageBreakBefore w:val="0"/>
        <w:widowControl w:val="0"/>
        <w:kinsoku/>
        <w:wordWrap/>
        <w:overflowPunct/>
        <w:topLinePunct w:val="0"/>
        <w:autoSpaceDE/>
        <w:autoSpaceDN/>
        <w:bidi w:val="0"/>
        <w:adjustRightInd/>
        <w:snapToGrid/>
        <w:spacing w:before="0" w:after="0" w:line="240" w:lineRule="exact"/>
        <w:textAlignment w:val="auto"/>
      </w:pPr>
    </w:p>
    <w:p>
      <w:pPr>
        <w:keepNext w:val="0"/>
        <w:keepLines w:val="0"/>
        <w:pageBreakBefore w:val="0"/>
        <w:widowControl w:val="0"/>
        <w:numPr>
          <w:ilvl w:val="0"/>
          <w:numId w:val="3"/>
        </w:numPr>
        <w:kinsoku/>
        <w:wordWrap/>
        <w:overflowPunct/>
        <w:topLinePunct w:val="0"/>
        <w:autoSpaceDE/>
        <w:autoSpaceDN/>
        <w:bidi w:val="0"/>
        <w:adjustRightInd/>
        <w:snapToGrid/>
        <w:spacing w:line="580" w:lineRule="exact"/>
        <w:ind w:left="0"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办理程序</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申请</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受理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经办</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4.结果反馈</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（一）法定时限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20</w:t>
      </w:r>
      <w:r>
        <w:rPr>
          <w:rFonts w:hint="eastAsia" w:ascii="楷体_GB2312" w:hAnsi="楷体_GB2312" w:eastAsia="楷体_GB2312" w:cs="楷体_GB2312"/>
          <w:sz w:val="32"/>
          <w:szCs w:val="32"/>
        </w:rPr>
        <w:t>个工作日</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即时办结</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十二、收费依据及标准</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4"/>
        </w:numPr>
        <w:kinsoku/>
        <w:wordWrap/>
        <w:overflowPunct/>
        <w:topLinePunct w:val="0"/>
        <w:autoSpaceDE/>
        <w:autoSpaceDN/>
        <w:bidi w:val="0"/>
        <w:adjustRightInd/>
        <w:snapToGrid/>
        <w:spacing w:line="580" w:lineRule="exact"/>
        <w:ind w:left="0"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十三、结果送达</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自受理之日起20个工作日</w:t>
      </w:r>
      <w:r>
        <w:rPr>
          <w:rFonts w:hint="eastAsia" w:ascii="仿宋_GB2312" w:hAnsi="Calibri" w:eastAsia="仿宋_GB2312" w:cs="Times New Roman"/>
          <w:sz w:val="32"/>
          <w:szCs w:val="32"/>
          <w:lang w:val="en-US" w:eastAsia="zh-CN"/>
        </w:rPr>
        <w:t>内</w:t>
      </w:r>
      <w:r>
        <w:rPr>
          <w:rFonts w:hint="eastAsia" w:ascii="仿宋_GB2312" w:hAnsi="Calibri" w:eastAsia="仿宋_GB2312" w:cs="Times New Roman"/>
          <w:sz w:val="32"/>
          <w:szCs w:val="32"/>
        </w:rPr>
        <w:t>结果送达。</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1.发送短信通知；</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3.自助一体机查询打印；</w:t>
      </w:r>
    </w:p>
    <w:p>
      <w:pPr>
        <w:keepNext w:val="0"/>
        <w:keepLines w:val="0"/>
        <w:pageBreakBefore w:val="0"/>
        <w:widowControl w:val="0"/>
        <w:kinsoku/>
        <w:wordWrap w:val="0"/>
        <w:overflowPunct/>
        <w:topLinePunct w:val="0"/>
        <w:autoSpaceDE/>
        <w:autoSpaceDN/>
        <w:bidi w:val="0"/>
        <w:adjustRightInd/>
        <w:snapToGrid/>
        <w:spacing w:line="580" w:lineRule="exact"/>
        <w:ind w:left="0" w:firstLine="640" w:firstLineChars="200"/>
        <w:textAlignment w:val="auto"/>
        <w:rPr>
          <w:rFonts w:hint="eastAsia" w:ascii="仿宋_GB2312" w:hAnsi="Calibri" w:eastAsia="仿宋_GB2312" w:cs="Times New Roman"/>
          <w:color w:val="auto"/>
          <w:sz w:val="32"/>
          <w:szCs w:val="32"/>
        </w:rPr>
      </w:pPr>
      <w:r>
        <w:rPr>
          <w:rFonts w:hint="eastAsia" w:ascii="仿宋_GB2312" w:hAnsi="Calibri" w:eastAsia="仿宋_GB2312" w:cs="Times New Roman"/>
          <w:sz w:val="32"/>
          <w:szCs w:val="32"/>
        </w:rPr>
        <w:t>4.登录</w:t>
      </w:r>
      <w:r>
        <w:rPr>
          <w:rFonts w:hint="eastAsia" w:ascii="仿宋_GB2312" w:hAnsi="仿宋_GB2312" w:eastAsia="仿宋_GB2312" w:cs="仿宋_GB2312"/>
          <w:sz w:val="32"/>
          <w:szCs w:val="32"/>
        </w:rPr>
        <w:t>广西数字政务一体化平台（http://zwfw.gxzf.gov.cn/）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广西医疗保障网上服务大厅</w:t>
      </w:r>
      <w:r>
        <w:rPr>
          <w:rFonts w:hint="eastAsia" w:ascii="仿宋_GB2312" w:hAnsi="仿宋_GB2312" w:eastAsia="仿宋_GB2312" w:cs="仿宋_GB2312"/>
          <w:color w:val="auto"/>
          <w:sz w:val="32"/>
          <w:szCs w:val="32"/>
        </w:rPr>
        <w:t>（https://ybwt.ybj.gxzf.gov.cn/web/hallEnter/#/Index）</w:t>
      </w:r>
      <w:r>
        <w:rPr>
          <w:rFonts w:hint="eastAsia" w:ascii="仿宋_GB2312" w:hAnsi="仿宋_GB2312" w:eastAsia="仿宋_GB2312" w:cs="仿宋_GB2312"/>
          <w:color w:val="auto"/>
          <w:sz w:val="32"/>
          <w:szCs w:val="32"/>
          <w:lang w:eastAsia="zh-CN"/>
        </w:rPr>
        <w:t>、广西医保APP、“广西医保”微信公众号、小程序、两定医疗机构保障信息平台</w:t>
      </w:r>
      <w:r>
        <w:rPr>
          <w:rFonts w:hint="eastAsia" w:ascii="仿宋_GB2312" w:hAnsi="Calibri" w:eastAsia="仿宋_GB2312" w:cs="Times New Roman"/>
          <w:color w:val="auto"/>
          <w:sz w:val="32"/>
          <w:szCs w:val="32"/>
        </w:rPr>
        <w:t>查询；</w:t>
      </w:r>
    </w:p>
    <w:p>
      <w:pPr>
        <w:keepNext w:val="0"/>
        <w:keepLines w:val="0"/>
        <w:pageBreakBefore w:val="0"/>
        <w:widowControl w:val="0"/>
        <w:kinsoku/>
        <w:wordWrap w:val="0"/>
        <w:overflowPunct/>
        <w:topLinePunct w:val="0"/>
        <w:autoSpaceDE/>
        <w:autoSpaceDN/>
        <w:bidi w:val="0"/>
        <w:adjustRightInd/>
        <w:snapToGrid/>
        <w:spacing w:line="580" w:lineRule="exact"/>
        <w:ind w:left="0" w:firstLine="640" w:firstLineChars="200"/>
        <w:textAlignment w:val="auto"/>
        <w:rPr>
          <w:rFonts w:hint="eastAsia" w:ascii="仿宋_GB2312" w:hAnsi="Calibri" w:eastAsia="仿宋_GB2312" w:cs="Times New Roman"/>
          <w:sz w:val="32"/>
          <w:szCs w:val="32"/>
          <w:lang w:eastAsia="zh-CN"/>
        </w:rPr>
      </w:pPr>
      <w:r>
        <w:rPr>
          <w:rFonts w:hint="eastAsia" w:ascii="仿宋_GB2312" w:hAnsi="Calibri" w:eastAsia="仿宋_GB2312" w:cs="Times New Roman"/>
          <w:sz w:val="32"/>
          <w:szCs w:val="32"/>
        </w:rPr>
        <w:t>5.窗口自取</w:t>
      </w:r>
      <w:r>
        <w:rPr>
          <w:rFonts w:hint="eastAsia" w:ascii="仿宋_GB2312"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十四、咨询方式</w:t>
      </w:r>
    </w:p>
    <w:p>
      <w:pPr>
        <w:keepNext w:val="0"/>
        <w:keepLines w:val="0"/>
        <w:pageBreakBefore w:val="0"/>
        <w:widowControl w:val="0"/>
        <w:numPr>
          <w:ilvl w:val="0"/>
          <w:numId w:val="5"/>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5"/>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5"/>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十五、监督投诉渠道</w:t>
      </w:r>
    </w:p>
    <w:p>
      <w:pPr>
        <w:keepNext w:val="0"/>
        <w:keepLines w:val="0"/>
        <w:pageBreakBefore w:val="0"/>
        <w:widowControl w:val="0"/>
        <w:numPr>
          <w:ilvl w:val="0"/>
          <w:numId w:val="6"/>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6"/>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十六、办理地址和时间</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黑体" w:hAnsi="黑体" w:eastAsia="黑体" w:cs="黑体"/>
          <w:sz w:val="32"/>
          <w:szCs w:val="32"/>
        </w:rPr>
      </w:pPr>
      <w:r>
        <w:rPr>
          <w:rFonts w:hint="eastAsia" w:ascii="黑体" w:hAnsi="黑体" w:eastAsia="黑体" w:cs="黑体"/>
          <w:sz w:val="32"/>
          <w:szCs w:val="32"/>
        </w:rPr>
        <w:t>十七、办理进程和结果查询</w:t>
      </w:r>
    </w:p>
    <w:p>
      <w:pPr>
        <w:keepNext w:val="0"/>
        <w:keepLines w:val="0"/>
        <w:pageBreakBefore w:val="0"/>
        <w:widowControl w:val="0"/>
        <w:numPr>
          <w:ilvl w:val="0"/>
          <w:numId w:val="7"/>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7"/>
        </w:numPr>
        <w:kinsoku/>
        <w:wordWrap/>
        <w:overflowPunct/>
        <w:topLinePunct w:val="0"/>
        <w:autoSpaceDE/>
        <w:autoSpaceDN/>
        <w:bidi w:val="0"/>
        <w:adjustRightInd/>
        <w:snapToGrid/>
        <w:spacing w:line="620" w:lineRule="exact"/>
        <w:ind w:left="0"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620" w:lineRule="exact"/>
        <w:ind w:left="0" w:firstLine="640" w:firstLineChars="200"/>
        <w:textAlignment w:val="auto"/>
        <w:rPr>
          <w:sz w:val="32"/>
          <w:szCs w:val="32"/>
        </w:rPr>
        <w:sectPr>
          <w:footerReference r:id="rId4" w:type="default"/>
          <w:headerReference r:id="rId3" w:type="even"/>
          <w:footerReference r:id="rId5" w:type="even"/>
          <w:pgSz w:w="11906" w:h="16838"/>
          <w:pgMar w:top="1417" w:right="1304" w:bottom="1417" w:left="1587" w:header="851" w:footer="1247" w:gutter="0"/>
          <w:pgNumType w:start="0"/>
          <w:cols w:space="720" w:num="1"/>
          <w:titlePg/>
          <w:docGrid w:type="lines" w:linePitch="312" w:charSpace="0"/>
        </w:sect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申请表</w:t>
      </w:r>
    </w:p>
    <w:tbl>
      <w:tblPr>
        <w:tblStyle w:val="6"/>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737"/>
        <w:gridCol w:w="929"/>
        <w:gridCol w:w="976"/>
        <w:gridCol w:w="524"/>
        <w:gridCol w:w="2566"/>
        <w:gridCol w:w="1202"/>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9720" w:type="dxa"/>
            <w:gridSpan w:val="8"/>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sz w:val="44"/>
                <w:szCs w:val="44"/>
              </w:rPr>
            </w:pP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门诊特殊慢性病定点医疗机构变更、扩增申请表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99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166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lang w:val="en-US" w:eastAsia="zh-CN"/>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身份证号码</w:t>
            </w:r>
          </w:p>
        </w:tc>
        <w:tc>
          <w:tcPr>
            <w:tcW w:w="256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lang w:val="en-US" w:eastAsia="zh-CN"/>
              </w:rPr>
            </w:pPr>
          </w:p>
        </w:tc>
        <w:tc>
          <w:tcPr>
            <w:tcW w:w="120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9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99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代办人</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166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5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身份证号码</w:t>
            </w:r>
          </w:p>
        </w:tc>
        <w:tc>
          <w:tcPr>
            <w:tcW w:w="25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0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关系</w:t>
            </w:r>
          </w:p>
        </w:tc>
        <w:tc>
          <w:tcPr>
            <w:tcW w:w="17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731"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病种名称</w:t>
            </w: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登记类别</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rPr>
              <w:t>原定点医疗机构</w:t>
            </w:r>
          </w:p>
        </w:tc>
        <w:tc>
          <w:tcPr>
            <w:tcW w:w="29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变更、</w:t>
            </w:r>
            <w:r>
              <w:rPr>
                <w:rFonts w:hint="eastAsia" w:ascii="宋体" w:hAnsi="宋体" w:eastAsia="宋体" w:cs="宋体"/>
                <w:sz w:val="24"/>
                <w:szCs w:val="24"/>
              </w:rPr>
              <w:t>扩诊定点医疗机构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31" w:type="dxa"/>
            <w:gridSpan w:val="2"/>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24"/>
                <w:szCs w:val="24"/>
              </w:rPr>
            </w:pP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 xml:space="preserve">扩增  </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变更</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c>
          <w:tcPr>
            <w:tcW w:w="29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31" w:type="dxa"/>
            <w:gridSpan w:val="2"/>
            <w:tcBorders>
              <w:left w:val="single" w:color="auto" w:sz="4" w:space="0"/>
              <w:right w:val="single" w:color="auto" w:sz="4" w:space="0"/>
            </w:tcBorders>
            <w:vAlign w:val="center"/>
          </w:tcPr>
          <w:p>
            <w:pPr>
              <w:jc w:val="center"/>
              <w:rPr>
                <w:rFonts w:hint="eastAsia" w:ascii="宋体" w:hAnsi="宋体" w:eastAsia="宋体" w:cs="宋体"/>
                <w:sz w:val="24"/>
                <w:szCs w:val="24"/>
              </w:rPr>
            </w:pP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sz w:val="24"/>
                <w:szCs w:val="24"/>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 xml:space="preserve">扩增  </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变更</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c>
          <w:tcPr>
            <w:tcW w:w="29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31" w:type="dxa"/>
            <w:gridSpan w:val="2"/>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sz w:val="24"/>
                <w:szCs w:val="24"/>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 xml:space="preserve">扩增  </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变更</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c>
          <w:tcPr>
            <w:tcW w:w="299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31" w:type="dxa"/>
            <w:gridSpan w:val="2"/>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 xml:space="preserve">扩增  </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变更</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宋体" w:hAnsi="宋体" w:eastAsia="宋体" w:cs="宋体"/>
                <w:sz w:val="24"/>
                <w:szCs w:val="24"/>
              </w:rPr>
            </w:pPr>
          </w:p>
        </w:tc>
        <w:tc>
          <w:tcPr>
            <w:tcW w:w="2994"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31" w:type="dxa"/>
            <w:gridSpan w:val="2"/>
            <w:tcBorders>
              <w:left w:val="single" w:color="auto" w:sz="4" w:space="0"/>
              <w:right w:val="single" w:color="auto" w:sz="4" w:space="0"/>
            </w:tcBorders>
            <w:vAlign w:val="center"/>
          </w:tcPr>
          <w:p>
            <w:pPr>
              <w:jc w:val="center"/>
              <w:rPr>
                <w:rFonts w:hint="eastAsia" w:ascii="宋体" w:hAnsi="宋体" w:eastAsia="宋体" w:cs="宋体"/>
                <w:sz w:val="24"/>
                <w:szCs w:val="24"/>
              </w:rPr>
            </w:pP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sz w:val="24"/>
                <w:szCs w:val="24"/>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 xml:space="preserve">扩增  </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变更</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宋体" w:hAnsi="宋体" w:eastAsia="宋体" w:cs="宋体"/>
                <w:sz w:val="24"/>
                <w:szCs w:val="24"/>
              </w:rPr>
            </w:pPr>
          </w:p>
        </w:tc>
        <w:tc>
          <w:tcPr>
            <w:tcW w:w="2994"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31" w:type="dxa"/>
            <w:gridSpan w:val="2"/>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szCs w:val="24"/>
              </w:rPr>
            </w:pPr>
          </w:p>
        </w:tc>
        <w:tc>
          <w:tcPr>
            <w:tcW w:w="1905"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宋体" w:hAnsi="宋体" w:eastAsia="宋体" w:cs="宋体"/>
                <w:sz w:val="24"/>
                <w:szCs w:val="24"/>
              </w:rPr>
            </w:pP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 xml:space="preserve">扩增  </w:t>
            </w:r>
            <w:r>
              <w:rPr>
                <w:rFonts w:hint="eastAsia" w:ascii="宋体" w:hAnsi="宋体" w:eastAsia="宋体" w:cs="宋体"/>
                <w:kern w:val="0"/>
                <w:sz w:val="24"/>
                <w:szCs w:val="24"/>
                <w:lang w:bidi="ar"/>
              </w:rPr>
              <w:t>□</w:t>
            </w:r>
            <w:r>
              <w:rPr>
                <w:rFonts w:hint="eastAsia" w:ascii="宋体" w:hAnsi="宋体" w:eastAsia="宋体" w:cs="宋体"/>
                <w:kern w:val="0"/>
                <w:sz w:val="24"/>
                <w:szCs w:val="24"/>
                <w:lang w:val="en-US" w:eastAsia="zh-CN" w:bidi="ar"/>
              </w:rPr>
              <w:t>变更</w:t>
            </w:r>
          </w:p>
        </w:tc>
        <w:tc>
          <w:tcPr>
            <w:tcW w:w="3090"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宋体" w:hAnsi="宋体" w:eastAsia="宋体" w:cs="宋体"/>
                <w:sz w:val="24"/>
                <w:szCs w:val="24"/>
              </w:rPr>
            </w:pPr>
          </w:p>
        </w:tc>
        <w:tc>
          <w:tcPr>
            <w:tcW w:w="2994"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9720" w:type="dxa"/>
            <w:gridSpan w:val="8"/>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申请人：                      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9720" w:type="dxa"/>
            <w:gridSpan w:val="8"/>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说明：</w:t>
            </w:r>
          </w:p>
          <w:p>
            <w:pPr>
              <w:adjustRightInd w:val="0"/>
              <w:snapToGrid w:val="0"/>
              <w:spacing w:line="480" w:lineRule="exact"/>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1.门慢定点医疗机构一年一定，中途不予变更。</w:t>
            </w:r>
          </w:p>
          <w:p>
            <w:pPr>
              <w:adjustRightInd w:val="0"/>
              <w:snapToGrid w:val="0"/>
              <w:spacing w:line="480" w:lineRule="exact"/>
              <w:jc w:val="left"/>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lang w:val="en-US" w:eastAsia="zh-CN"/>
                <w14:textFill>
                  <w14:solidFill>
                    <w14:schemeClr w14:val="tx1"/>
                  </w14:solidFill>
                </w14:textFill>
              </w:rPr>
              <w:t>已享受</w:t>
            </w:r>
            <w:r>
              <w:rPr>
                <w:rFonts w:hint="eastAsia" w:ascii="宋体" w:hAnsi="宋体" w:eastAsia="宋体" w:cs="宋体"/>
                <w:color w:val="000000" w:themeColor="text1"/>
                <w:sz w:val="24"/>
                <w:szCs w:val="24"/>
                <w14:textFill>
                  <w14:solidFill>
                    <w14:schemeClr w14:val="tx1"/>
                  </w14:solidFill>
                </w14:textFill>
              </w:rPr>
              <w:t>门诊特殊慢性病</w:t>
            </w:r>
            <w:r>
              <w:rPr>
                <w:rFonts w:hint="eastAsia" w:ascii="宋体" w:hAnsi="宋体" w:eastAsia="宋体" w:cs="宋体"/>
                <w:color w:val="000000" w:themeColor="text1"/>
                <w:sz w:val="24"/>
                <w:szCs w:val="24"/>
                <w:lang w:val="en-US" w:eastAsia="zh-CN"/>
                <w14:textFill>
                  <w14:solidFill>
                    <w14:schemeClr w14:val="tx1"/>
                  </w14:solidFill>
                </w14:textFill>
              </w:rPr>
              <w:t>待遇的参保人员</w:t>
            </w:r>
            <w:r>
              <w:rPr>
                <w:rFonts w:hint="eastAsia" w:ascii="宋体" w:hAnsi="宋体" w:eastAsia="宋体" w:cs="宋体"/>
                <w:color w:val="000000" w:themeColor="text1"/>
                <w:sz w:val="24"/>
                <w:szCs w:val="24"/>
                <w14:textFill>
                  <w14:solidFill>
                    <w14:schemeClr w14:val="tx1"/>
                  </w14:solidFill>
                </w14:textFill>
              </w:rPr>
              <w:t>最多选择3家定点医疗机构。</w:t>
            </w: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方正小标宋简体" w:hAnsi="黑体" w:eastAsia="方正小标宋简体" w:cs="黑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cs="黑体"/>
          <w:sz w:val="44"/>
          <w:szCs w:val="44"/>
        </w:rPr>
      </w:pPr>
      <w:r>
        <w:rPr>
          <w:rFonts w:hint="eastAsia" w:ascii="方正小标宋简体" w:hAnsi="黑体" w:eastAsia="方正小标宋简体" w:cs="黑体"/>
          <w:sz w:val="44"/>
          <w:szCs w:val="44"/>
        </w:rPr>
        <w:t>申请表（填写示范文本）</w:t>
      </w:r>
    </w:p>
    <w:tbl>
      <w:tblPr>
        <w:tblStyle w:val="6"/>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527"/>
        <w:gridCol w:w="905"/>
        <w:gridCol w:w="1077"/>
        <w:gridCol w:w="387"/>
        <w:gridCol w:w="2691"/>
        <w:gridCol w:w="1239"/>
        <w:gridCol w:w="1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9720" w:type="dxa"/>
            <w:gridSpan w:val="8"/>
            <w:tcBorders>
              <w:top w:val="nil"/>
              <w:left w:val="nil"/>
              <w:bottom w:val="single" w:color="auto" w:sz="4" w:space="0"/>
              <w:right w:val="nil"/>
            </w:tcBorders>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sz w:val="22"/>
                <w:szCs w:val="22"/>
              </w:rPr>
            </w:pP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门诊特殊慢性病定点医疗机构变更、扩增申请表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16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143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张三</w:t>
            </w:r>
          </w:p>
        </w:tc>
        <w:tc>
          <w:tcPr>
            <w:tcW w:w="1464"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身份证号码</w:t>
            </w:r>
          </w:p>
        </w:tc>
        <w:tc>
          <w:tcPr>
            <w:tcW w:w="269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4501031950XXXXXXXX</w:t>
            </w:r>
          </w:p>
        </w:tc>
        <w:tc>
          <w:tcPr>
            <w:tcW w:w="123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172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138XXXXXXX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0" w:hRule="atLeast"/>
          <w:jc w:val="center"/>
        </w:trPr>
        <w:tc>
          <w:tcPr>
            <w:tcW w:w="116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代办人</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143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val="en-US" w:eastAsia="zh-CN" w:bidi="ar"/>
              </w:rPr>
              <w:t>张大</w:t>
            </w:r>
          </w:p>
        </w:tc>
        <w:tc>
          <w:tcPr>
            <w:tcW w:w="146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w:t>
            </w:r>
          </w:p>
        </w:tc>
        <w:tc>
          <w:tcPr>
            <w:tcW w:w="26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4501031980XXXXXXXX</w:t>
            </w:r>
          </w:p>
        </w:tc>
        <w:tc>
          <w:tcPr>
            <w:tcW w:w="123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关系</w:t>
            </w:r>
          </w:p>
        </w:tc>
        <w:tc>
          <w:tcPr>
            <w:tcW w:w="17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子女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69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病种名称</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登记类别</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原定点医疗机构</w:t>
            </w:r>
          </w:p>
        </w:tc>
        <w:tc>
          <w:tcPr>
            <w:tcW w:w="2965"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变更、</w:t>
            </w:r>
            <w:r>
              <w:rPr>
                <w:rFonts w:hint="eastAsia" w:asciiTheme="minorEastAsia" w:hAnsiTheme="minorEastAsia" w:eastAsiaTheme="minorEastAsia" w:cstheme="minorEastAsia"/>
                <w:sz w:val="24"/>
                <w:szCs w:val="24"/>
              </w:rPr>
              <w:t>扩诊定点医疗机构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5" w:type="dxa"/>
            <w:gridSpan w:val="2"/>
            <w:tcBorders>
              <w:top w:val="single" w:color="auto" w:sz="4" w:space="0"/>
              <w:left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冠心病</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 xml:space="preserve">扩增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变更</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广西中医药大学第一附属医院</w:t>
            </w:r>
          </w:p>
        </w:tc>
        <w:tc>
          <w:tcPr>
            <w:tcW w:w="296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广西壮族自治区人民医院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1695" w:type="dxa"/>
            <w:gridSpan w:val="2"/>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高血压</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 xml:space="preserve">扩增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变更</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南宁市第二人民医院</w:t>
            </w:r>
          </w:p>
        </w:tc>
        <w:tc>
          <w:tcPr>
            <w:tcW w:w="296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广西壮族自治区人民医院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1695" w:type="dxa"/>
            <w:gridSpan w:val="2"/>
            <w:tcBorders>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糖尿病</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 xml:space="preserve">扩增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变更</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广西壮族自治区工人医院</w:t>
            </w:r>
          </w:p>
        </w:tc>
        <w:tc>
          <w:tcPr>
            <w:tcW w:w="296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广西壮族自治区人民医院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1695" w:type="dxa"/>
            <w:gridSpan w:val="2"/>
            <w:tcBorders>
              <w:top w:val="single" w:color="auto" w:sz="4" w:space="0"/>
              <w:left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冠心病</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高血压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糖尿病</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扩增  </w:t>
            </w: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变更</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ind w:firstLine="1920" w:firstLineChars="800"/>
              <w:jc w:val="left"/>
              <w:textAlignment w:val="auto"/>
              <w:rPr>
                <w:rFonts w:hint="eastAsia" w:asciiTheme="minorEastAsia" w:hAnsiTheme="minorEastAsia" w:eastAsiaTheme="minorEastAsia" w:cstheme="minorEastAsia"/>
                <w:sz w:val="24"/>
                <w:szCs w:val="24"/>
              </w:rPr>
            </w:pPr>
          </w:p>
        </w:tc>
        <w:tc>
          <w:tcPr>
            <w:tcW w:w="296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广西中医药大学附属瑞康医院</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广西壮族自治区江滨医院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695" w:type="dxa"/>
            <w:gridSpan w:val="2"/>
            <w:tcBorders>
              <w:left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 xml:space="preserve">扩增  </w:t>
            </w: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变更</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Theme="minorEastAsia" w:hAnsiTheme="minorEastAsia" w:eastAsiaTheme="minorEastAsia" w:cstheme="minorEastAsia"/>
                <w:sz w:val="24"/>
                <w:szCs w:val="24"/>
              </w:rPr>
            </w:pPr>
          </w:p>
        </w:tc>
        <w:tc>
          <w:tcPr>
            <w:tcW w:w="2965"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695" w:type="dxa"/>
            <w:gridSpan w:val="2"/>
            <w:tcBorders>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z w:val="24"/>
                <w:szCs w:val="24"/>
              </w:rPr>
            </w:pPr>
          </w:p>
        </w:tc>
        <w:tc>
          <w:tcPr>
            <w:tcW w:w="1982" w:type="dxa"/>
            <w:gridSpan w:val="2"/>
            <w:tcBorders>
              <w:top w:val="single" w:color="auto" w:sz="4" w:space="0"/>
              <w:left w:val="single" w:color="auto" w:sz="4" w:space="0"/>
              <w:bottom w:val="single" w:color="auto" w:sz="4" w:space="0"/>
              <w:right w:val="single" w:color="auto" w:sz="4" w:space="0"/>
            </w:tcBorders>
            <w:vAlign w:val="center"/>
          </w:tcPr>
          <w:p>
            <w:pPr>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 xml:space="preserve">扩增  </w:t>
            </w: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val="en-US" w:eastAsia="zh-CN" w:bidi="ar"/>
              </w:rPr>
              <w:t>变更</w:t>
            </w:r>
          </w:p>
        </w:tc>
        <w:tc>
          <w:tcPr>
            <w:tcW w:w="3078"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Theme="minorEastAsia" w:hAnsiTheme="minorEastAsia" w:eastAsiaTheme="minorEastAsia" w:cstheme="minorEastAsia"/>
                <w:sz w:val="24"/>
                <w:szCs w:val="24"/>
              </w:rPr>
            </w:pPr>
          </w:p>
        </w:tc>
        <w:tc>
          <w:tcPr>
            <w:tcW w:w="2965" w:type="dxa"/>
            <w:gridSpan w:val="2"/>
            <w:tcBorders>
              <w:top w:val="single" w:color="auto" w:sz="4" w:space="0"/>
              <w:left w:val="single" w:color="auto" w:sz="4" w:space="0"/>
              <w:bottom w:val="single" w:color="auto" w:sz="4" w:space="0"/>
              <w:right w:val="single" w:color="auto" w:sz="4" w:space="0"/>
            </w:tcBorders>
            <w:vAlign w:val="center"/>
          </w:tcPr>
          <w:p>
            <w:pPr>
              <w:ind w:firstLine="1920" w:firstLineChars="800"/>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9720" w:type="dxa"/>
            <w:gridSpan w:val="8"/>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eastAsia="zh-CN"/>
              </w:rPr>
              <w:t>申请人：张三                      联系电话：138XXXXXXXX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8" w:hRule="atLeast"/>
          <w:jc w:val="center"/>
        </w:trPr>
        <w:tc>
          <w:tcPr>
            <w:tcW w:w="9720" w:type="dxa"/>
            <w:gridSpan w:val="8"/>
            <w:tcBorders>
              <w:top w:val="single" w:color="auto" w:sz="4" w:space="0"/>
              <w:left w:val="single" w:color="auto" w:sz="4" w:space="0"/>
              <w:bottom w:val="single" w:color="auto" w:sz="4" w:space="0"/>
              <w:right w:val="single" w:color="auto" w:sz="4" w:space="0"/>
            </w:tcBorders>
            <w:vAlign w:val="center"/>
          </w:tcPr>
          <w:p>
            <w:pPr>
              <w:spacing w:line="48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说明：</w:t>
            </w:r>
          </w:p>
          <w:p>
            <w:pPr>
              <w:adjustRightInd w:val="0"/>
              <w:snapToGrid w:val="0"/>
              <w:spacing w:line="480" w:lineRule="exact"/>
              <w:jc w:val="left"/>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1.门慢定点医疗机构一年一定，中途不予变更。</w:t>
            </w:r>
          </w:p>
          <w:p>
            <w:pPr>
              <w:adjustRightInd w:val="0"/>
              <w:snapToGrid w:val="0"/>
              <w:spacing w:line="480" w:lineRule="exact"/>
              <w:jc w:val="left"/>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已享受</w:t>
            </w:r>
            <w:r>
              <w:rPr>
                <w:rFonts w:hint="eastAsia" w:asciiTheme="minorEastAsia" w:hAnsiTheme="minorEastAsia" w:eastAsiaTheme="minorEastAsia" w:cstheme="minorEastAsia"/>
                <w:color w:val="000000" w:themeColor="text1"/>
                <w:sz w:val="24"/>
                <w:szCs w:val="24"/>
                <w14:textFill>
                  <w14:solidFill>
                    <w14:schemeClr w14:val="tx1"/>
                  </w14:solidFill>
                </w14:textFill>
              </w:rPr>
              <w:t>门诊特殊慢性病</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待遇的参保人员</w:t>
            </w:r>
            <w:r>
              <w:rPr>
                <w:rFonts w:hint="eastAsia" w:asciiTheme="minorEastAsia" w:hAnsiTheme="minorEastAsia" w:eastAsiaTheme="minorEastAsia" w:cstheme="minorEastAsia"/>
                <w:color w:val="000000" w:themeColor="text1"/>
                <w:sz w:val="24"/>
                <w:szCs w:val="24"/>
                <w14:textFill>
                  <w14:solidFill>
                    <w14:schemeClr w14:val="tx1"/>
                  </w14:solidFill>
                </w14:textFill>
              </w:rPr>
              <w:t>最多选择3家定点医疗机构。</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pStyle w:val="2"/>
        <w:keepNext w:val="0"/>
        <w:keepLines w:val="0"/>
        <w:pageBreakBefore w:val="0"/>
        <w:widowControl w:val="0"/>
        <w:kinsoku/>
        <w:wordWrap/>
        <w:overflowPunct/>
        <w:topLinePunct w:val="0"/>
        <w:autoSpaceDE/>
        <w:autoSpaceDN/>
        <w:bidi w:val="0"/>
        <w:adjustRightInd/>
        <w:snapToGrid/>
        <w:spacing w:before="0" w:after="0" w:line="560" w:lineRule="exact"/>
        <w:textAlignment w:val="auto"/>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_GB2312" w:cs="仿宋"/>
          <w:kern w:val="0"/>
          <w:sz w:val="24"/>
          <w:szCs w:val="24"/>
          <w:lang w:val="en-US" w:eastAsia="zh-CN" w:bidi="ar"/>
        </w:rPr>
      </w:pPr>
      <w:r>
        <w:rPr>
          <w:rFonts w:hint="eastAsia" w:ascii="仿宋_GB2312" w:hAnsi="黑体" w:eastAsia="仿宋_GB2312" w:cs="黑体"/>
          <w:sz w:val="32"/>
          <w:szCs w:val="32"/>
        </w:rPr>
        <w:t>1.</w:t>
      </w:r>
      <w:r>
        <w:rPr>
          <w:rFonts w:hint="eastAsia" w:ascii="仿宋_GB2312" w:hAnsi="黑体" w:eastAsia="仿宋_GB2312" w:cs="黑体"/>
          <w:sz w:val="32"/>
          <w:szCs w:val="32"/>
          <w:lang w:eastAsia="zh-CN"/>
        </w:rPr>
        <w:t>《</w:t>
      </w:r>
      <w:r>
        <w:rPr>
          <w:rFonts w:hint="eastAsia" w:ascii="仿宋_GB2312" w:hAnsi="黑体" w:eastAsia="仿宋_GB2312" w:cs="黑体"/>
          <w:sz w:val="32"/>
          <w:szCs w:val="32"/>
        </w:rPr>
        <w:t>门诊特殊慢性病定点医疗机构变更、扩增申请表</w:t>
      </w:r>
      <w:r>
        <w:rPr>
          <w:rFonts w:hint="eastAsia" w:ascii="仿宋_GB2312" w:hAnsi="黑体" w:eastAsia="仿宋_GB2312" w:cs="黑体"/>
          <w:sz w:val="32"/>
          <w:szCs w:val="32"/>
          <w:lang w:eastAsia="zh-CN"/>
        </w:rPr>
        <w:t>》</w:t>
      </w:r>
      <w:r>
        <w:rPr>
          <w:rFonts w:hint="eastAsia" w:ascii="仿宋_GB2312" w:hAnsi="黑体" w:eastAsia="仿宋_GB2312" w:cs="黑体"/>
          <w:sz w:val="32"/>
          <w:szCs w:val="32"/>
          <w:lang w:val="en-US" w:eastAsia="zh-CN"/>
        </w:rPr>
        <w:t>未填写病种名称。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_GB2312" w:cs="仿宋"/>
          <w:kern w:val="0"/>
          <w:sz w:val="24"/>
          <w:szCs w:val="24"/>
          <w:lang w:val="en-US" w:eastAsia="zh-CN" w:bidi="ar"/>
        </w:rPr>
      </w:pPr>
      <w:r>
        <w:rPr>
          <w:rFonts w:hint="eastAsia" w:ascii="仿宋_GB2312" w:hAnsi="黑体" w:eastAsia="仿宋_GB2312" w:cs="黑体"/>
          <w:sz w:val="32"/>
          <w:szCs w:val="32"/>
        </w:rPr>
        <w:t>2</w:t>
      </w:r>
      <w:r>
        <w:rPr>
          <w:rFonts w:ascii="仿宋_GB2312" w:hAnsi="黑体" w:eastAsia="仿宋_GB2312" w:cs="黑体"/>
          <w:sz w:val="32"/>
          <w:szCs w:val="32"/>
        </w:rPr>
        <w:t>.</w:t>
      </w:r>
      <w:r>
        <w:rPr>
          <w:rFonts w:hint="eastAsia" w:ascii="仿宋_GB2312" w:hAnsi="黑体" w:eastAsia="仿宋_GB2312" w:cs="黑体"/>
          <w:sz w:val="32"/>
          <w:szCs w:val="32"/>
          <w:lang w:eastAsia="zh-CN"/>
        </w:rPr>
        <w:t>《</w:t>
      </w:r>
      <w:r>
        <w:rPr>
          <w:rFonts w:hint="eastAsia" w:ascii="仿宋_GB2312" w:hAnsi="黑体" w:eastAsia="仿宋_GB2312" w:cs="黑体"/>
          <w:sz w:val="32"/>
          <w:szCs w:val="32"/>
        </w:rPr>
        <w:t>门诊特殊慢性病定点医疗机构变更、扩增申请表</w:t>
      </w:r>
      <w:r>
        <w:rPr>
          <w:rFonts w:hint="eastAsia" w:ascii="仿宋_GB2312" w:hAnsi="黑体" w:eastAsia="仿宋_GB2312" w:cs="黑体"/>
          <w:sz w:val="32"/>
          <w:szCs w:val="32"/>
          <w:lang w:eastAsia="zh-CN"/>
        </w:rPr>
        <w:t>》</w:t>
      </w:r>
      <w:r>
        <w:rPr>
          <w:rFonts w:hint="eastAsia" w:ascii="仿宋_GB2312" w:hAnsi="黑体" w:eastAsia="仿宋_GB2312" w:cs="黑体"/>
          <w:sz w:val="32"/>
          <w:szCs w:val="32"/>
          <w:lang w:val="en-US" w:eastAsia="zh-CN"/>
        </w:rPr>
        <w:t>扩诊、变更类型勾选错误。</w:t>
      </w:r>
    </w:p>
    <w:p>
      <w:pPr>
        <w:keepNext w:val="0"/>
        <w:keepLines w:val="0"/>
        <w:pageBreakBefore w:val="0"/>
        <w:kinsoku/>
        <w:wordWrap/>
        <w:overflowPunct/>
        <w:topLinePunct w:val="0"/>
        <w:autoSpaceDE/>
        <w:autoSpaceDN/>
        <w:bidi w:val="0"/>
        <w:adjustRightInd/>
        <w:snapToGrid/>
        <w:spacing w:line="600" w:lineRule="exact"/>
        <w:jc w:val="left"/>
        <w:textAlignment w:val="auto"/>
        <w:rPr>
          <w:rFonts w:ascii="仿宋_GB2312" w:hAnsi="黑体" w:eastAsia="仿宋_GB2312"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pStyle w:val="2"/>
      </w:pPr>
    </w:p>
    <w:p>
      <w:pPr>
        <w:keepNext w:val="0"/>
        <w:keepLines w:val="0"/>
        <w:pageBreakBefore w:val="0"/>
        <w:kinsoku/>
        <w:wordWrap/>
        <w:overflowPunct/>
        <w:topLinePunct w:val="0"/>
        <w:autoSpaceDE/>
        <w:autoSpaceDN/>
        <w:bidi w:val="0"/>
        <w:adjustRightInd/>
        <w:snapToGrid/>
        <w:spacing w:line="600" w:lineRule="exact"/>
        <w:textAlignment w:val="auto"/>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rPr>
      </w:pPr>
    </w:p>
    <w:p>
      <w:pPr>
        <w:pStyle w:val="17"/>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hAnsi="黑体" w:eastAsia="仿宋_GB2312" w:cs="黑体"/>
          <w:sz w:val="32"/>
          <w:szCs w:val="32"/>
        </w:rPr>
      </w:pPr>
      <w:r>
        <w:rPr>
          <w:rFonts w:hint="eastAsia" w:ascii="仿宋_GB2312" w:hAnsi="黑体" w:eastAsia="仿宋_GB2312" w:cs="黑体"/>
          <w:kern w:val="2"/>
          <w:sz w:val="32"/>
          <w:szCs w:val="32"/>
        </w:rPr>
        <w:t>1.问：</w:t>
      </w:r>
      <w:r>
        <w:rPr>
          <w:rFonts w:hint="eastAsia" w:ascii="仿宋_GB2312" w:hAnsi="黑体" w:eastAsia="仿宋_GB2312" w:cs="黑体"/>
          <w:kern w:val="2"/>
          <w:sz w:val="32"/>
          <w:szCs w:val="32"/>
          <w:lang w:val="en-US" w:eastAsia="zh-CN"/>
        </w:rPr>
        <w:t>我已经享受了门诊特殊慢性病待遇，之前只选了一家定点医院，为了方便看病，现在可以多选几家医院吗</w:t>
      </w:r>
      <w:r>
        <w:rPr>
          <w:rFonts w:hint="eastAsia" w:ascii="仿宋_GB2312" w:hAnsi="黑体" w:eastAsia="仿宋_GB2312" w:cs="黑体"/>
          <w:sz w:val="32"/>
          <w:szCs w:val="32"/>
        </w:rPr>
        <w:t>？</w:t>
      </w:r>
    </w:p>
    <w:p>
      <w:pPr>
        <w:pStyle w:val="18"/>
        <w:keepNext w:val="0"/>
        <w:keepLines w:val="0"/>
        <w:pageBreakBefore w:val="0"/>
        <w:kinsoku/>
        <w:wordWrap/>
        <w:overflowPunct/>
        <w:topLinePunct w:val="0"/>
        <w:autoSpaceDE/>
        <w:autoSpaceDN/>
        <w:bidi w:val="0"/>
        <w:adjustRightInd/>
        <w:snapToGrid/>
        <w:spacing w:before="0" w:beforeAutospacing="0" w:after="0" w:afterAutospacing="0" w:line="560" w:lineRule="exact"/>
        <w:ind w:firstLine="960" w:firstLineChars="300"/>
        <w:jc w:val="both"/>
        <w:textAlignment w:val="auto"/>
        <w:rPr>
          <w:rFonts w:ascii="仿宋_GB2312" w:hAnsi="黑体" w:eastAsia="仿宋_GB2312" w:cs="黑体"/>
          <w:sz w:val="32"/>
          <w:szCs w:val="32"/>
        </w:rPr>
      </w:pPr>
      <w:r>
        <w:rPr>
          <w:rFonts w:hint="eastAsia" w:ascii="仿宋_GB2312" w:hAnsi="黑体" w:eastAsia="仿宋_GB2312" w:cs="黑体"/>
          <w:sz w:val="32"/>
          <w:szCs w:val="32"/>
        </w:rPr>
        <w:t>答</w:t>
      </w:r>
      <w:r>
        <w:rPr>
          <w:rFonts w:hint="eastAsia" w:ascii="仿宋_GB2312" w:hAnsi="黑体" w:eastAsia="仿宋_GB2312" w:cs="黑体"/>
          <w:kern w:val="0"/>
          <w:sz w:val="32"/>
          <w:szCs w:val="32"/>
          <w:lang w:val="en-US" w:eastAsia="zh-CN" w:bidi="ar-SA"/>
        </w:rPr>
        <w:t>：可</w:t>
      </w:r>
      <w:r>
        <w:rPr>
          <w:rFonts w:hint="eastAsia" w:ascii="仿宋_GB2312" w:hAnsi="黑体" w:eastAsia="仿宋_GB2312" w:cs="黑体"/>
          <w:kern w:val="2"/>
          <w:sz w:val="32"/>
          <w:szCs w:val="32"/>
          <w:lang w:val="en-US" w:eastAsia="zh-CN" w:bidi="ar-SA"/>
        </w:rPr>
        <w:t>以。享受门诊特殊慢性病待遇的参保人员选择定点医疗机构实行年度备案制。门诊特殊慢性病患者在统筹区域内可选择3家以内定点医疗机构作为门诊医疗服务定点，定点医疗机构原则上一年一定，中途不予变更。</w:t>
      </w:r>
    </w:p>
    <w:p>
      <w:pPr>
        <w:pStyle w:val="18"/>
        <w:spacing w:before="0" w:beforeAutospacing="0" w:after="0" w:afterAutospacing="0" w:line="720" w:lineRule="atLeast"/>
        <w:ind w:firstLine="320" w:firstLineChars="100"/>
        <w:rPr>
          <w:rFonts w:ascii="仿宋_GB2312" w:hAnsi="黑体" w:eastAsia="仿宋_GB2312" w:cs="黑体"/>
          <w:sz w:val="32"/>
          <w:szCs w:val="32"/>
        </w:rPr>
      </w:pPr>
    </w:p>
    <w:p>
      <w:pPr>
        <w:pStyle w:val="18"/>
        <w:spacing w:before="0" w:beforeAutospacing="0" w:after="0" w:afterAutospacing="0" w:line="720" w:lineRule="atLeast"/>
        <w:rPr>
          <w:rFonts w:hint="eastAsia" w:ascii="仿宋_GB2312" w:hAnsi="黑体" w:eastAsia="仿宋_GB2312" w:cs="黑体"/>
          <w:sz w:val="32"/>
          <w:szCs w:val="32"/>
        </w:rPr>
      </w:pPr>
    </w:p>
    <w:p/>
    <w:sectPr>
      <w:footerReference r:id="rId6" w:type="default"/>
      <w:footerReference r:id="rId7" w:type="even"/>
      <w:pgSz w:w="11906" w:h="16838"/>
      <w:pgMar w:top="1417" w:right="1304" w:bottom="1417" w:left="1587" w:header="851"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hint="eastAsia" w:ascii="宋体" w:hAnsi="宋体"/>
        <w:sz w:val="28"/>
        <w:szCs w:val="28"/>
        <w:lang w:eastAsia="zh-CN"/>
      </w:rPr>
      <w:t xml:space="preserve">— </w:t>
    </w:r>
    <w:r>
      <w:rPr>
        <w:rFonts w:hint="eastAsia" w:ascii="宋体" w:hAnsi="宋体"/>
        <w:sz w:val="28"/>
        <w:szCs w:val="28"/>
      </w:rPr>
      <w:fldChar w:fldCharType="begin"/>
    </w:r>
    <w:r>
      <w:rPr>
        <w:rFonts w:hint="eastAsia"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rPr>
      <w:t>5</w:t>
    </w:r>
    <w:r>
      <w:rPr>
        <w:rFonts w:hint="eastAsia" w:ascii="宋体" w:hAnsi="宋体"/>
        <w:sz w:val="28"/>
        <w:szCs w:val="28"/>
      </w:rPr>
      <w:fldChar w:fldCharType="end"/>
    </w:r>
    <w:r>
      <w:rPr>
        <w:rStyle w:val="10"/>
        <w:rFonts w:hint="eastAsia" w:ascii="宋体" w:hAnsi="宋体" w:cs="宋体"/>
        <w:sz w:val="28"/>
        <w:szCs w:val="28"/>
        <w:lang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ascii="宋体" w:hAnsi="宋体"/>
        <w:sz w:val="28"/>
        <w:szCs w:val="28"/>
        <w:lang w:eastAsia="zh-CN"/>
      </w:rPr>
      <w:t xml:space="preserve">— </w:t>
    </w:r>
    <w:r>
      <w:rPr>
        <w:rFonts w:hint="eastAsia" w:ascii="宋体" w:hAnsi="宋体"/>
        <w:sz w:val="28"/>
        <w:szCs w:val="28"/>
      </w:rPr>
      <w:fldChar w:fldCharType="begin"/>
    </w:r>
    <w:r>
      <w:rPr>
        <w:rFonts w:hint="eastAsia"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rPr>
      <w:t>10</w:t>
    </w:r>
    <w:r>
      <w:rPr>
        <w:rFonts w:hint="eastAsia" w:ascii="宋体" w:hAnsi="宋体"/>
        <w:sz w:val="28"/>
        <w:szCs w:val="28"/>
      </w:rPr>
      <w:fldChar w:fldCharType="end"/>
    </w:r>
    <w:r>
      <w:rPr>
        <w:rStyle w:val="10"/>
        <w:rFonts w:hint="eastAsia" w:ascii="宋体" w:hAnsi="宋体" w:cs="宋体"/>
        <w:sz w:val="28"/>
        <w:szCs w:val="28"/>
        <w:lang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kinsoku/>
      <w:wordWrap/>
      <w:overflowPunct/>
      <w:topLinePunct w:val="0"/>
      <w:autoSpaceDE/>
      <w:autoSpaceDN/>
      <w:bidi w:val="0"/>
      <w:adjustRightInd/>
      <w:snapToGrid w:val="0"/>
      <w:spacing w:before="0" w:beforeAutospacing="0" w:after="0" w:afterAutospacing="0" w:line="240" w:lineRule="auto"/>
      <w:ind w:left="0" w:right="363" w:firstLine="363"/>
      <w:jc w:val="right"/>
      <w:textAlignment w:val="auto"/>
      <w:rPr>
        <w:rFonts w:hint="eastAsia" w:ascii="宋体" w:hAnsi="宋体" w:eastAsia="宋体" w:cs="Times New Roman"/>
        <w:color w:val="auto"/>
        <w:spacing w:val="0"/>
        <w:position w:val="0"/>
        <w:sz w:val="28"/>
        <w:szCs w:val="18"/>
        <w:lang w:val="en-US" w:eastAsia="zh-CN" w:bidi="ar-SA"/>
      </w:rPr>
    </w:pPr>
    <w:r>
      <w:rPr>
        <w:rFonts w:hint="eastAsia" w:ascii="宋体" w:hAnsi="宋体" w:cs="Times New Roman"/>
        <w:color w:val="auto"/>
        <w:spacing w:val="0"/>
        <w:position w:val="0"/>
        <w:sz w:val="28"/>
        <w:szCs w:val="18"/>
        <w:lang w:val="en-US" w:eastAsia="zh-CN" w:bidi="ar-SA"/>
      </w:rPr>
      <w:t xml:space="preserve">  </w:t>
    </w:r>
    <w:r>
      <w:rPr>
        <w:rFonts w:hint="eastAsia" w:ascii="宋体" w:hAnsi="宋体" w:eastAsia="宋体" w:cs="Times New Roman"/>
        <w:color w:val="auto"/>
        <w:spacing w:val="0"/>
        <w:position w:val="0"/>
        <w:sz w:val="28"/>
        <w:szCs w:val="18"/>
        <w:lang w:val="en-US" w:eastAsia="zh-CN" w:bidi="ar-SA"/>
      </w:rPr>
      <w:t xml:space="preserve">— </w:t>
    </w:r>
    <w:r>
      <w:rPr>
        <w:rFonts w:hint="eastAsia" w:ascii="宋体" w:hAnsi="宋体" w:eastAsia="宋体" w:cs="Times New Roman"/>
        <w:color w:val="auto"/>
        <w:spacing w:val="0"/>
        <w:position w:val="0"/>
        <w:sz w:val="28"/>
        <w:szCs w:val="18"/>
        <w:lang w:val="en-US" w:eastAsia="zh-CN" w:bidi="ar-SA"/>
      </w:rPr>
      <w:fldChar w:fldCharType="begin"/>
    </w:r>
    <w:r>
      <w:rPr>
        <w:rFonts w:hint="eastAsia" w:ascii="宋体" w:hAnsi="宋体" w:eastAsia="宋体" w:cs="Times New Roman"/>
        <w:color w:val="auto"/>
        <w:spacing w:val="0"/>
        <w:position w:val="0"/>
        <w:sz w:val="28"/>
        <w:szCs w:val="18"/>
        <w:lang w:val="en-US" w:eastAsia="zh-CN" w:bidi="ar-SA"/>
      </w:rPr>
      <w:instrText xml:space="preserve"> PAGE  \* MERGEFORMAT </w:instrText>
    </w:r>
    <w:r>
      <w:rPr>
        <w:rFonts w:hint="default" w:ascii="宋体" w:hAnsi="宋体" w:eastAsia="宋体" w:cs="Times New Roman"/>
        <w:color w:val="auto"/>
        <w:spacing w:val="0"/>
        <w:position w:val="0"/>
        <w:sz w:val="28"/>
        <w:szCs w:val="18"/>
        <w:lang w:val="en-US" w:eastAsia="zh-CN" w:bidi="ar-SA"/>
      </w:rPr>
      <w:fldChar w:fldCharType="separate"/>
    </w:r>
    <w:r>
      <w:rPr>
        <w:rFonts w:hint="default" w:ascii="宋体" w:hAnsi="宋体" w:eastAsia="宋体" w:cs="Times New Roman"/>
        <w:color w:val="auto"/>
        <w:spacing w:val="0"/>
        <w:position w:val="0"/>
        <w:sz w:val="28"/>
        <w:szCs w:val="18"/>
        <w:lang w:val="en-US" w:eastAsia="zh-CN" w:bidi="ar-SA"/>
      </w:rPr>
      <w:t>3</w:t>
    </w:r>
    <w:r>
      <w:rPr>
        <w:rFonts w:hint="eastAsia" w:ascii="宋体" w:hAnsi="宋体" w:eastAsia="宋体" w:cs="Times New Roman"/>
        <w:color w:val="auto"/>
        <w:spacing w:val="0"/>
        <w:position w:val="0"/>
        <w:sz w:val="28"/>
        <w:szCs w:val="18"/>
        <w:lang w:val="en-US" w:eastAsia="zh-CN" w:bidi="ar-SA"/>
      </w:rPr>
      <w:fldChar w:fldCharType="end"/>
    </w:r>
    <w:r>
      <w:rPr>
        <w:rFonts w:hint="eastAsia" w:ascii="宋体" w:hAnsi="宋体" w:eastAsia="宋体" w:cs="Times New Roman"/>
        <w:color w:val="auto"/>
        <w:spacing w:val="0"/>
        <w:position w:val="0"/>
        <w:sz w:val="28"/>
        <w:szCs w:val="18"/>
        <w:lang w:val="en-US" w:eastAsia="zh-CN" w:bidi="ar-S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ascii="宋体" w:hAnsi="宋体"/>
        <w:sz w:val="28"/>
        <w:szCs w:val="28"/>
        <w:lang w:eastAsia="zh-CN"/>
      </w:rPr>
      <w:t xml:space="preserve">— </w:t>
    </w:r>
    <w:r>
      <w:rPr>
        <w:rFonts w:hint="eastAsia" w:ascii="宋体" w:hAnsi="宋体"/>
        <w:sz w:val="28"/>
        <w:szCs w:val="28"/>
      </w:rPr>
      <w:fldChar w:fldCharType="begin"/>
    </w:r>
    <w:r>
      <w:rPr>
        <w:rFonts w:hint="eastAsia"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rPr>
      <w:t>10</w:t>
    </w:r>
    <w:r>
      <w:rPr>
        <w:rFonts w:hint="eastAsia" w:ascii="宋体" w:hAnsi="宋体"/>
        <w:sz w:val="28"/>
        <w:szCs w:val="28"/>
      </w:rPr>
      <w:fldChar w:fldCharType="end"/>
    </w:r>
    <w:r>
      <w:rPr>
        <w:rStyle w:val="10"/>
        <w:rFonts w:hint="eastAsia" w:ascii="宋体" w:hAnsi="宋体" w:cs="宋体"/>
        <w:sz w:val="28"/>
        <w:szCs w:val="28"/>
        <w:lang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CE091C"/>
    <w:multiLevelType w:val="singleLevel"/>
    <w:tmpl w:val="DECE091C"/>
    <w:lvl w:ilvl="0" w:tentative="0">
      <w:start w:val="1"/>
      <w:numFmt w:val="chineseCounting"/>
      <w:suff w:val="nothing"/>
      <w:lvlText w:val="（%1）"/>
      <w:lvlJc w:val="left"/>
      <w:rPr>
        <w:rFonts w:hint="eastAsia"/>
      </w:rPr>
    </w:lvl>
  </w:abstractNum>
  <w:abstractNum w:abstractNumId="1">
    <w:nsid w:val="E3CB88D9"/>
    <w:multiLevelType w:val="singleLevel"/>
    <w:tmpl w:val="E3CB88D9"/>
    <w:lvl w:ilvl="0" w:tentative="0">
      <w:start w:val="1"/>
      <w:numFmt w:val="chineseCounting"/>
      <w:suff w:val="nothing"/>
      <w:lvlText w:val="%1、"/>
      <w:lvlJc w:val="left"/>
      <w:pPr>
        <w:ind w:left="420"/>
      </w:pPr>
      <w:rPr>
        <w:rFonts w:hint="eastAsia" w:ascii="黑体" w:hAnsi="黑体" w:eastAsia="黑体" w:cs="黑体"/>
        <w:sz w:val="32"/>
        <w:szCs w:val="32"/>
      </w:rPr>
    </w:lvl>
  </w:abstractNum>
  <w:abstractNum w:abstractNumId="2">
    <w:nsid w:val="F85B5C75"/>
    <w:multiLevelType w:val="singleLevel"/>
    <w:tmpl w:val="F85B5C75"/>
    <w:lvl w:ilvl="0" w:tentative="0">
      <w:start w:val="1"/>
      <w:numFmt w:val="chineseCounting"/>
      <w:suff w:val="nothing"/>
      <w:lvlText w:val="（%1）"/>
      <w:lvlJc w:val="left"/>
      <w:rPr>
        <w:rFonts w:hint="eastAsia"/>
      </w:rPr>
    </w:lvl>
  </w:abstractNum>
  <w:abstractNum w:abstractNumId="3">
    <w:nsid w:val="47B617F9"/>
    <w:multiLevelType w:val="singleLevel"/>
    <w:tmpl w:val="47B617F9"/>
    <w:lvl w:ilvl="0" w:tentative="0">
      <w:start w:val="1"/>
      <w:numFmt w:val="chineseCounting"/>
      <w:suff w:val="nothing"/>
      <w:lvlText w:val="（%1）"/>
      <w:lvlJc w:val="left"/>
      <w:rPr>
        <w:rFonts w:hint="eastAsia"/>
      </w:rPr>
    </w:lvl>
  </w:abstractNum>
  <w:abstractNum w:abstractNumId="4">
    <w:nsid w:val="5043382C"/>
    <w:multiLevelType w:val="singleLevel"/>
    <w:tmpl w:val="5043382C"/>
    <w:lvl w:ilvl="0" w:tentative="0">
      <w:start w:val="1"/>
      <w:numFmt w:val="chineseCounting"/>
      <w:suff w:val="nothing"/>
      <w:lvlText w:val="（%1）"/>
      <w:lvlJc w:val="left"/>
      <w:rPr>
        <w:rFonts w:hint="eastAsia"/>
      </w:rPr>
    </w:lvl>
  </w:abstractNum>
  <w:abstractNum w:abstractNumId="5">
    <w:nsid w:val="5DC50A9B"/>
    <w:multiLevelType w:val="singleLevel"/>
    <w:tmpl w:val="5DC50A9B"/>
    <w:lvl w:ilvl="0" w:tentative="0">
      <w:start w:val="1"/>
      <w:numFmt w:val="chineseCounting"/>
      <w:suff w:val="nothing"/>
      <w:lvlText w:val="（%1）"/>
      <w:lvlJc w:val="left"/>
      <w:rPr>
        <w:rFonts w:hint="eastAsia"/>
      </w:rPr>
    </w:lvl>
  </w:abstractNum>
  <w:abstractNum w:abstractNumId="6">
    <w:nsid w:val="78FC29A2"/>
    <w:multiLevelType w:val="singleLevel"/>
    <w:tmpl w:val="78FC29A2"/>
    <w:lvl w:ilvl="0" w:tentative="0">
      <w:start w:val="1"/>
      <w:numFmt w:val="chineseCounting"/>
      <w:suff w:val="nothing"/>
      <w:lvlText w:val="（%1）"/>
      <w:lvlJc w:val="left"/>
      <w:rPr>
        <w:rFonts w:hint="eastAsia"/>
      </w:rPr>
    </w:lvl>
  </w:abstractNum>
  <w:num w:numId="1">
    <w:abstractNumId w:val="1"/>
  </w:num>
  <w:num w:numId="2">
    <w:abstractNumId w:val="2"/>
  </w:num>
  <w:num w:numId="3">
    <w:abstractNumId w:val="5"/>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MDQ4NTkyZGFkZTk1YzJlNzJkNzQ5NzdjZWJjOTMifQ=="/>
  </w:docVars>
  <w:rsids>
    <w:rsidRoot w:val="00EA7D7D"/>
    <w:rsid w:val="004A6592"/>
    <w:rsid w:val="0057735F"/>
    <w:rsid w:val="0090544A"/>
    <w:rsid w:val="00971292"/>
    <w:rsid w:val="00C82F8F"/>
    <w:rsid w:val="00D003A9"/>
    <w:rsid w:val="00DD7510"/>
    <w:rsid w:val="00EA7D7D"/>
    <w:rsid w:val="015D52DD"/>
    <w:rsid w:val="015F52C4"/>
    <w:rsid w:val="01DC61D9"/>
    <w:rsid w:val="01EF0EA7"/>
    <w:rsid w:val="021749FB"/>
    <w:rsid w:val="02E163E9"/>
    <w:rsid w:val="02FE6B47"/>
    <w:rsid w:val="0399607E"/>
    <w:rsid w:val="04075936"/>
    <w:rsid w:val="04476540"/>
    <w:rsid w:val="04BC589B"/>
    <w:rsid w:val="0535675D"/>
    <w:rsid w:val="058A445E"/>
    <w:rsid w:val="05B065D8"/>
    <w:rsid w:val="07DF74CE"/>
    <w:rsid w:val="084D5091"/>
    <w:rsid w:val="086663F9"/>
    <w:rsid w:val="08C948DC"/>
    <w:rsid w:val="09534FC0"/>
    <w:rsid w:val="097C1024"/>
    <w:rsid w:val="09C060CA"/>
    <w:rsid w:val="0ADF5F28"/>
    <w:rsid w:val="0AFA63F0"/>
    <w:rsid w:val="0BD60D1C"/>
    <w:rsid w:val="0C5B7C91"/>
    <w:rsid w:val="0C760E4A"/>
    <w:rsid w:val="0D9F5204"/>
    <w:rsid w:val="0DCC1B28"/>
    <w:rsid w:val="0DF45E1C"/>
    <w:rsid w:val="0E6D4C23"/>
    <w:rsid w:val="0F90472B"/>
    <w:rsid w:val="0FAB039D"/>
    <w:rsid w:val="10172F7E"/>
    <w:rsid w:val="10471EE9"/>
    <w:rsid w:val="10DE0646"/>
    <w:rsid w:val="117F087D"/>
    <w:rsid w:val="11AE3C17"/>
    <w:rsid w:val="12BA45C5"/>
    <w:rsid w:val="140C418C"/>
    <w:rsid w:val="14790830"/>
    <w:rsid w:val="14CA1896"/>
    <w:rsid w:val="15763417"/>
    <w:rsid w:val="15DA49E7"/>
    <w:rsid w:val="15EB43D1"/>
    <w:rsid w:val="175209E7"/>
    <w:rsid w:val="18D569FA"/>
    <w:rsid w:val="18EE2D0E"/>
    <w:rsid w:val="19700CAE"/>
    <w:rsid w:val="1B2F55E1"/>
    <w:rsid w:val="1B8F73F2"/>
    <w:rsid w:val="1C2E6602"/>
    <w:rsid w:val="1CEA2B90"/>
    <w:rsid w:val="1E47786A"/>
    <w:rsid w:val="204C351B"/>
    <w:rsid w:val="22EC636B"/>
    <w:rsid w:val="22FE2A53"/>
    <w:rsid w:val="23723FB5"/>
    <w:rsid w:val="241A195B"/>
    <w:rsid w:val="24BA5348"/>
    <w:rsid w:val="25AA0943"/>
    <w:rsid w:val="25D054BD"/>
    <w:rsid w:val="265979B6"/>
    <w:rsid w:val="266238FC"/>
    <w:rsid w:val="287D59CA"/>
    <w:rsid w:val="2A591E7A"/>
    <w:rsid w:val="2B99638D"/>
    <w:rsid w:val="2BC8532B"/>
    <w:rsid w:val="2E0777D8"/>
    <w:rsid w:val="2E1D0B4E"/>
    <w:rsid w:val="2E9B1989"/>
    <w:rsid w:val="2FC971B3"/>
    <w:rsid w:val="30145B0E"/>
    <w:rsid w:val="31860C4E"/>
    <w:rsid w:val="31861367"/>
    <w:rsid w:val="32392329"/>
    <w:rsid w:val="332B76B4"/>
    <w:rsid w:val="34494D56"/>
    <w:rsid w:val="3523150A"/>
    <w:rsid w:val="35CF3D1B"/>
    <w:rsid w:val="35D70F37"/>
    <w:rsid w:val="371608AF"/>
    <w:rsid w:val="38013B57"/>
    <w:rsid w:val="383C407B"/>
    <w:rsid w:val="38763DAA"/>
    <w:rsid w:val="39141191"/>
    <w:rsid w:val="39C23B5C"/>
    <w:rsid w:val="3AF23D02"/>
    <w:rsid w:val="3B5520EE"/>
    <w:rsid w:val="3B5763B6"/>
    <w:rsid w:val="3B790BFA"/>
    <w:rsid w:val="3B8125FC"/>
    <w:rsid w:val="3BF413D8"/>
    <w:rsid w:val="3DB34255"/>
    <w:rsid w:val="3E136662"/>
    <w:rsid w:val="3F6A009F"/>
    <w:rsid w:val="40E87E13"/>
    <w:rsid w:val="41162B8F"/>
    <w:rsid w:val="41682C10"/>
    <w:rsid w:val="42063581"/>
    <w:rsid w:val="44DB4982"/>
    <w:rsid w:val="44ED1A58"/>
    <w:rsid w:val="466E5755"/>
    <w:rsid w:val="477E6AFC"/>
    <w:rsid w:val="48AE7CB1"/>
    <w:rsid w:val="48E766EE"/>
    <w:rsid w:val="4A890655"/>
    <w:rsid w:val="4AAE4BB9"/>
    <w:rsid w:val="4ACD2437"/>
    <w:rsid w:val="4BA83B80"/>
    <w:rsid w:val="4C2825B8"/>
    <w:rsid w:val="4E554893"/>
    <w:rsid w:val="4E611B9A"/>
    <w:rsid w:val="4ED71797"/>
    <w:rsid w:val="4FB256FA"/>
    <w:rsid w:val="50075330"/>
    <w:rsid w:val="50911991"/>
    <w:rsid w:val="519D5B6E"/>
    <w:rsid w:val="51A21442"/>
    <w:rsid w:val="51B94C0A"/>
    <w:rsid w:val="533D1A65"/>
    <w:rsid w:val="546E328B"/>
    <w:rsid w:val="55825D1F"/>
    <w:rsid w:val="55B92A05"/>
    <w:rsid w:val="55E51746"/>
    <w:rsid w:val="59653D98"/>
    <w:rsid w:val="5A0802B0"/>
    <w:rsid w:val="5A7372C2"/>
    <w:rsid w:val="5AAE0178"/>
    <w:rsid w:val="5C3564F7"/>
    <w:rsid w:val="5C384DB0"/>
    <w:rsid w:val="5D1A5A6B"/>
    <w:rsid w:val="5DE34656"/>
    <w:rsid w:val="5FA830F1"/>
    <w:rsid w:val="5FF2074C"/>
    <w:rsid w:val="607F2AB9"/>
    <w:rsid w:val="634B5508"/>
    <w:rsid w:val="6375451E"/>
    <w:rsid w:val="63A43B54"/>
    <w:rsid w:val="64AD5963"/>
    <w:rsid w:val="691178AE"/>
    <w:rsid w:val="69465815"/>
    <w:rsid w:val="6A6825A5"/>
    <w:rsid w:val="6B292164"/>
    <w:rsid w:val="6B360F61"/>
    <w:rsid w:val="6C170C76"/>
    <w:rsid w:val="6CFE644D"/>
    <w:rsid w:val="6D0A1C75"/>
    <w:rsid w:val="6D6270FF"/>
    <w:rsid w:val="6E527997"/>
    <w:rsid w:val="6F4B63F5"/>
    <w:rsid w:val="6F525BFC"/>
    <w:rsid w:val="6F660982"/>
    <w:rsid w:val="704D76A7"/>
    <w:rsid w:val="70EB48C0"/>
    <w:rsid w:val="713D3AA1"/>
    <w:rsid w:val="715D1BD9"/>
    <w:rsid w:val="72692449"/>
    <w:rsid w:val="745F126F"/>
    <w:rsid w:val="74670E13"/>
    <w:rsid w:val="74E87AFE"/>
    <w:rsid w:val="74EC6AD0"/>
    <w:rsid w:val="74FC0C96"/>
    <w:rsid w:val="75E065C5"/>
    <w:rsid w:val="762F33CC"/>
    <w:rsid w:val="7686785D"/>
    <w:rsid w:val="77132134"/>
    <w:rsid w:val="79651680"/>
    <w:rsid w:val="79F4325F"/>
    <w:rsid w:val="7A105CD5"/>
    <w:rsid w:val="7A366134"/>
    <w:rsid w:val="7A540F5F"/>
    <w:rsid w:val="7ACA58B6"/>
    <w:rsid w:val="7B9E6D2F"/>
    <w:rsid w:val="7C072238"/>
    <w:rsid w:val="7C2C1A36"/>
    <w:rsid w:val="7C9C2C3F"/>
    <w:rsid w:val="7D0A6C3A"/>
    <w:rsid w:val="7ECFADAC"/>
    <w:rsid w:val="7ED06CC2"/>
    <w:rsid w:val="7EF115B6"/>
    <w:rsid w:val="7FDC4EB6"/>
    <w:rsid w:val="DBFF1484"/>
    <w:rsid w:val="FFEC7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basedOn w:val="8"/>
    <w:unhideWhenUsed/>
    <w:qFormat/>
    <w:uiPriority w:val="0"/>
  </w:style>
  <w:style w:type="paragraph" w:customStyle="1" w:styleId="11">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 w:type="character" w:customStyle="1" w:styleId="12">
    <w:name w:val="页眉 字符"/>
    <w:basedOn w:val="8"/>
    <w:link w:val="4"/>
    <w:qFormat/>
    <w:uiPriority w:val="0"/>
    <w:rPr>
      <w:rFonts w:ascii="Calibri" w:hAnsi="Calibri" w:eastAsia="宋体" w:cs="Times New Roman"/>
      <w:kern w:val="2"/>
      <w:sz w:val="18"/>
      <w:szCs w:val="18"/>
    </w:rPr>
  </w:style>
  <w:style w:type="character" w:customStyle="1" w:styleId="13">
    <w:name w:val="页脚 字符"/>
    <w:basedOn w:val="8"/>
    <w:link w:val="3"/>
    <w:qFormat/>
    <w:uiPriority w:val="0"/>
    <w:rPr>
      <w:rFonts w:ascii="Calibri" w:hAnsi="Calibri" w:eastAsia="宋体" w:cs="Times New Roman"/>
      <w:kern w:val="2"/>
      <w:sz w:val="18"/>
      <w:szCs w:val="18"/>
    </w:rPr>
  </w:style>
  <w:style w:type="paragraph" w:customStyle="1" w:styleId="14">
    <w:name w:val="办理流程"/>
    <w:basedOn w:val="15"/>
    <w:qFormat/>
    <w:uiPriority w:val="0"/>
    <w:pPr>
      <w:adjustRightInd w:val="0"/>
      <w:snapToGrid w:val="0"/>
      <w:spacing w:line="270" w:lineRule="exact"/>
      <w:jc w:val="left"/>
    </w:pPr>
    <w:rPr>
      <w:rFonts w:ascii="仿宋_GB2312" w:hAnsi="宋体" w:eastAsia="仿宋_GB2312" w:cs="宋体"/>
      <w:szCs w:val="21"/>
    </w:rPr>
  </w:style>
  <w:style w:type="paragraph" w:customStyle="1" w:styleId="15">
    <w:name w:val="列出段落1"/>
    <w:basedOn w:val="1"/>
    <w:qFormat/>
    <w:uiPriority w:val="34"/>
    <w:pPr>
      <w:ind w:firstLine="420" w:firstLineChars="200"/>
    </w:pPr>
    <w:rPr>
      <w:rFonts w:eastAsia="宋体"/>
      <w:sz w:val="21"/>
      <w:szCs w:val="21"/>
    </w:rPr>
  </w:style>
  <w:style w:type="paragraph" w:customStyle="1" w:styleId="16">
    <w:name w:val="右标题"/>
    <w:basedOn w:val="1"/>
    <w:qFormat/>
    <w:uiPriority w:val="0"/>
    <w:pPr>
      <w:adjustRightInd w:val="0"/>
      <w:snapToGrid w:val="0"/>
      <w:spacing w:line="274" w:lineRule="exact"/>
      <w:jc w:val="left"/>
    </w:pPr>
    <w:rPr>
      <w:rFonts w:ascii="仿宋_GB2312" w:hAnsi="宋体" w:eastAsia="仿宋_GB2312" w:cs="宋体"/>
      <w:szCs w:val="21"/>
    </w:rPr>
  </w:style>
  <w:style w:type="paragraph" w:customStyle="1" w:styleId="17">
    <w:name w:val="wenti"/>
    <w:basedOn w:val="1"/>
    <w:qFormat/>
    <w:uiPriority w:val="0"/>
    <w:pPr>
      <w:widowControl/>
      <w:spacing w:before="100" w:beforeAutospacing="1" w:after="100" w:afterAutospacing="1"/>
      <w:jc w:val="left"/>
    </w:pPr>
    <w:rPr>
      <w:rFonts w:ascii="宋体" w:hAnsi="宋体" w:cs="宋体"/>
      <w:kern w:val="0"/>
      <w:sz w:val="24"/>
    </w:rPr>
  </w:style>
  <w:style w:type="paragraph" w:customStyle="1" w:styleId="18">
    <w:name w:val="jieda"/>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1804</Words>
  <Characters>2072</Characters>
  <Lines>33</Lines>
  <Paragraphs>9</Paragraphs>
  <TotalTime>4</TotalTime>
  <ScaleCrop>false</ScaleCrop>
  <LinksUpToDate>false</LinksUpToDate>
  <CharactersWithSpaces>2167</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2021-09-11T01:19:00Z</dcterms:created>
  <dc:creator>TKYL</dc:creator>
  <cp:lastModifiedBy>guest</cp:lastModifiedBy>
  <dcterms:modified xsi:type="dcterms:W3CDTF">2024-01-17T16:01:33Z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E76BEDBDBF9944A1A821F1BB16E657C7_13</vt:lpwstr>
  </property>
</Properties>
</file>