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380"/>
        <w:tblOverlap w:val="never"/>
        <w:tblW w:w="1025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3247"/>
        <w:gridCol w:w="1846"/>
        <w:gridCol w:w="32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254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申请表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广西基本医疗保险跨省临时就医备案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险  种</w:t>
            </w:r>
          </w:p>
        </w:tc>
        <w:tc>
          <w:tcPr>
            <w:tcW w:w="3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□ 城镇职工  □ 城乡居民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社会保障卡号</w:t>
            </w:r>
          </w:p>
        </w:tc>
        <w:tc>
          <w:tcPr>
            <w:tcW w:w="3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 保 地</w:t>
            </w:r>
          </w:p>
        </w:tc>
        <w:tc>
          <w:tcPr>
            <w:tcW w:w="83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□自治区本级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□ </w:t>
            </w:r>
            <w:r>
              <w:rPr>
                <w:rStyle w:val="5"/>
                <w:lang w:val="en-US" w:eastAsia="zh-CN" w:bidi="ar"/>
              </w:rPr>
              <w:t xml:space="preserve">   </w:t>
            </w:r>
            <w:r>
              <w:rPr>
                <w:rStyle w:val="5"/>
                <w:rFonts w:hint="eastAsia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市</w:t>
            </w:r>
            <w:r>
              <w:rPr>
                <w:rStyle w:val="5"/>
                <w:lang w:val="en-US" w:eastAsia="zh-CN" w:bidi="ar"/>
              </w:rPr>
              <w:t xml:space="preserve">    </w:t>
            </w:r>
            <w:r>
              <w:rPr>
                <w:rStyle w:val="5"/>
                <w:rFonts w:hint="eastAsia"/>
                <w:lang w:val="en-US" w:eastAsia="zh-CN" w:bidi="ar"/>
              </w:rPr>
              <w:t xml:space="preserve">         </w:t>
            </w:r>
            <w:r>
              <w:rPr>
                <w:rStyle w:val="5"/>
                <w:lang w:val="en-US" w:eastAsia="zh-CN" w:bidi="ar"/>
              </w:rPr>
              <w:t xml:space="preserve">  </w:t>
            </w:r>
            <w:r>
              <w:rPr>
                <w:rStyle w:val="5"/>
                <w:rFonts w:hint="eastAsia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县（市/区）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83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□ 住院（直接结算）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异地联系地址</w:t>
            </w:r>
          </w:p>
        </w:tc>
        <w:tc>
          <w:tcPr>
            <w:tcW w:w="838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联系电话1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联系电话2</w:t>
            </w:r>
          </w:p>
        </w:tc>
        <w:tc>
          <w:tcPr>
            <w:tcW w:w="3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转往省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（市、区）</w:t>
            </w:r>
          </w:p>
        </w:tc>
        <w:tc>
          <w:tcPr>
            <w:tcW w:w="3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（市、州）</w:t>
            </w:r>
          </w:p>
        </w:tc>
        <w:tc>
          <w:tcPr>
            <w:tcW w:w="3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5" w:hRule="atLeast"/>
          <w:jc w:val="center"/>
        </w:trPr>
        <w:tc>
          <w:tcPr>
            <w:tcW w:w="102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 馨 提 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1.跨省异地就医直接结算的住院医疗费用，执行就医地的目录，参保地起付线封顶线及支付比例，因各地目录差异，直接结算与回参保地报销可能存在待遇差，属于正常现象。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此备案适用情形为非急诊且未转诊，因本人原因需要临时在外省就医人员直接结算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；备案仅为跨省异地就医提供直接结算的便利服务，以解决跑腿报销和垫支的问题，医保基金报销比例会在原报销比例基础上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降低20%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阅读知晓后请手写以下内容：</w:t>
            </w:r>
            <w:r>
              <w:rPr>
                <w:rStyle w:val="6"/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  <w:t>本人已阅读温馨提示内容，知晓异地就医报销政策，同意办理跨省临时就医备案手续。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720" w:firstLineChars="28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本人签名：     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年      月     日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5B147478"/>
    <w:rsid w:val="5B14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5">
    <w:name w:val="font61"/>
    <w:basedOn w:val="4"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6">
    <w:name w:val="font11"/>
    <w:basedOn w:val="4"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2024-01-23T02:31:00Z</dcterms:created>
  <dc:creator>巳月澐</dc:creator>
  <cp:lastModifiedBy>巳月澐</cp:lastModifiedBy>
  <dcterms:modified xsi:type="dcterms:W3CDTF">2024-01-23T02:31:43Z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A620B02B78EF4484AADB8780C9CCDD5C_11</vt:lpwstr>
  </property>
</Properties>
</file>