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申请表</w:t>
      </w:r>
    </w:p>
    <w:tbl>
      <w:tblPr>
        <w:tblStyle w:val="3"/>
        <w:tblW w:w="998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3060"/>
        <w:gridCol w:w="1830"/>
        <w:gridCol w:w="3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998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方正小标宋简体" w:hAnsi="宋体" w:eastAsia="方正小标宋简体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广西</w:t>
            </w: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基本医疗保险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跨省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就医备案</w:t>
            </w:r>
            <w:bookmarkEnd w:id="0"/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 xml:space="preserve">登记表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   名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险   种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□城镇职工  □城乡居民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身份证号码</w:t>
            </w:r>
          </w:p>
        </w:tc>
        <w:tc>
          <w:tcPr>
            <w:tcW w:w="80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参  保  地</w:t>
            </w:r>
          </w:p>
        </w:tc>
        <w:tc>
          <w:tcPr>
            <w:tcW w:w="8009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□自治区本级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市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县（市/区）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人员类别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安置退休人员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长期居住人员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异地工作人员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" w:firstLineChars="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异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地急诊人员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登记类别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 新 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 变更备案地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 变更门诊特殊慢性病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定点医疗机构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异地联系地址</w:t>
            </w:r>
          </w:p>
        </w:tc>
        <w:tc>
          <w:tcPr>
            <w:tcW w:w="80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 系 电 话1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 系 电 话2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97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转往省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（市、区）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地区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（市、州）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9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门诊特殊慢性病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定点医疗机构</w:t>
            </w:r>
          </w:p>
        </w:tc>
        <w:tc>
          <w:tcPr>
            <w:tcW w:w="80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9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0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9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0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atLeast"/>
        </w:trPr>
        <w:tc>
          <w:tcPr>
            <w:tcW w:w="9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温  馨 提 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1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.跨省异地就医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直接结算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执行就医地规定的支付范围及有关规定、参保地规定的基本医疗保险基金起付线标准、支付比例、最高支付限额、门诊特殊慢性病病种范围等有关政策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，因各地目录差异，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直接结算与回参保地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手工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报销可能存在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待遇差，属于正常现象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。  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2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参保人享受门诊特殊慢性病待遇，需同时选定就医地的门诊特殊慢性病定点医疗机构，在非本人选定的定点医疗机构发生的门诊特殊慢性病费用不予支付。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auto"/>
                <w:sz w:val="24"/>
                <w:szCs w:val="24"/>
              </w:rPr>
              <w:t>本人已知晓温馨提示内容，承诺所提供的材料属实。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0" w:firstLineChars="20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0" w:firstLineChars="20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本人/代办人签名：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7200" w:firstLineChars="3000"/>
              <w:jc w:val="left"/>
              <w:textAlignment w:val="auto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月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日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286943C6"/>
    <w:rsid w:val="2869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2024-01-23T02:20:00Z</dcterms:created>
  <dc:creator>巳月澐</dc:creator>
  <cp:lastModifiedBy>巳月澐</cp:lastModifiedBy>
  <dcterms:modified xsi:type="dcterms:W3CDTF">2024-01-23T02:25:22Z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319B3D0D9F8441EFA038FE22F26BF310_11</vt:lpwstr>
  </property>
</Properties>
</file>