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/>
          <w:sz w:val="32"/>
          <w:szCs w:val="32"/>
        </w:rPr>
        <w:t>兴安县2021-2022年上桂峡灌区续建配套与节水改造工程</w:t>
      </w:r>
      <w:r>
        <w:rPr>
          <w:rFonts w:hint="eastAsia" w:eastAsia="方正小标宋_GBK"/>
          <w:kern w:val="0"/>
          <w:sz w:val="36"/>
          <w:szCs w:val="36"/>
        </w:rPr>
        <w:t>项目支出</w:t>
      </w:r>
      <w:r>
        <w:rPr>
          <w:rFonts w:eastAsia="方正小标宋_GBK"/>
          <w:kern w:val="0"/>
          <w:sz w:val="36"/>
          <w:szCs w:val="36"/>
        </w:rPr>
        <w:t>绩效目标申报表</w:t>
      </w:r>
      <w:r>
        <w:rPr>
          <w:rFonts w:eastAsia="方正小标宋_GBK"/>
          <w:kern w:val="0"/>
          <w:sz w:val="36"/>
          <w:szCs w:val="36"/>
        </w:rPr>
        <w:br w:type="textWrapping"/>
      </w:r>
      <w:r>
        <w:rPr>
          <w:rFonts w:hint="eastAsia" w:eastAsia="楷体_GB2312"/>
          <w:kern w:val="0"/>
          <w:sz w:val="32"/>
          <w:szCs w:val="32"/>
        </w:rPr>
        <w:t>（    2021   年度）</w:t>
      </w:r>
    </w:p>
    <w:tbl>
      <w:tblPr>
        <w:tblStyle w:val="5"/>
        <w:tblW w:w="88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0"/>
        <w:gridCol w:w="11"/>
        <w:gridCol w:w="1626"/>
        <w:gridCol w:w="142"/>
        <w:gridCol w:w="1134"/>
        <w:gridCol w:w="992"/>
        <w:gridCol w:w="148"/>
        <w:gridCol w:w="494"/>
        <w:gridCol w:w="634"/>
        <w:gridCol w:w="2188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2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部门（单位）代码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505001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部门（单位）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名称</w:t>
            </w: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spacing w:line="280" w:lineRule="exact"/>
              <w:ind w:left="420" w:firstLine="0" w:firstLineChars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兴安县水利局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项目名称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兴安县2021-2022年上桂峡灌区续建配套与节水改造工程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预算金额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690万元</w:t>
            </w:r>
            <w:r>
              <w:rPr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陈健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联系电话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0773-6217228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单位地址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广西</w:t>
            </w:r>
            <w:r>
              <w:rPr>
                <w:rFonts w:hint="eastAsia"/>
                <w:kern w:val="0"/>
                <w:szCs w:val="21"/>
              </w:rPr>
              <w:t>兴安县兴桂路13号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邮政编码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541399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项目类型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1.延续专项□                           2.</w:t>
            </w:r>
            <w:r>
              <w:rPr>
                <w:rFonts w:hint="eastAsia" w:ascii="宋体" w:hAnsi="宋体"/>
                <w:kern w:val="0"/>
                <w:szCs w:val="21"/>
              </w:rPr>
              <w:t>新增专项</w:t>
            </w:r>
            <w:r>
              <w:rPr/>
              <w:sym w:font="Wingdings 2" w:char="F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项目分类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1.根据国家规定按标准保障的项目□       2.与中央专项配套的项目</w:t>
            </w:r>
            <w:r>
              <w:rPr/>
              <w:sym w:font="Wingdings 2" w:char="F052"/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3.县委、县政府会议（协议）确定项目□   4.部门重点项目□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5.绩效考评项目□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项目实施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年限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项目起止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时间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2021年1月1日～2022年12月31日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6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资金来源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1.经费拨款</w:t>
            </w:r>
            <w:r>
              <w:rPr>
                <w:rFonts w:hint="eastAsia"/>
                <w:kern w:val="0"/>
                <w:szCs w:val="21"/>
              </w:rPr>
              <w:sym w:font="Wingdings 2" w:char="0052"/>
            </w:r>
            <w:r>
              <w:rPr>
                <w:rFonts w:hint="eastAsia"/>
                <w:kern w:val="0"/>
                <w:szCs w:val="21"/>
              </w:rPr>
              <w:t xml:space="preserve">             3.纳入一般公共预算管理的非税收入拨款</w:t>
            </w:r>
            <w:r>
              <w:rPr/>
              <w:sym w:font="Wingdings 2" w:char="F052"/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2.上级补助□             4.政府性基金拨款□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8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项目支出总体绩效目标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合理利用水</w:t>
            </w:r>
            <w:r>
              <w:rPr>
                <w:rFonts w:hint="eastAsia"/>
                <w:kern w:val="0"/>
                <w:szCs w:val="21"/>
                <w:lang w:eastAsia="zh-CN"/>
              </w:rPr>
              <w:t>资源</w:t>
            </w:r>
            <w:r>
              <w:rPr>
                <w:rFonts w:hint="eastAsia"/>
                <w:kern w:val="0"/>
                <w:szCs w:val="21"/>
              </w:rPr>
              <w:t>增加灌溉面积提高农民收入</w:t>
            </w:r>
            <w:r>
              <w:rPr>
                <w:rFonts w:hint="eastAsia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47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绩效指标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指标内容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产出数量指标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防渗加固渠道49.658km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产出质量指标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产出进度指标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2022年12底前完成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产出成本指标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经济效益指标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促进农民增收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提高农田灌溉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生态效益指标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节约水资源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6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可持续影响指标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项目持续发挥作用15年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社会公众或服务对象满意度指标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群众满意度95%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41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其他说明的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问题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主管部门审核意见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firstLine="6405" w:firstLineChars="3050"/>
              <w:rPr>
                <w:rFonts w:eastAsia="仿宋_GB2312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财政部门审核意见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业务科室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预算科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                     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填报人：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王桥生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联系电话：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0773-6217228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填报日期：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2020年12月15日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99"/>
    <w:rsid w:val="00035AE9"/>
    <w:rsid w:val="000D3956"/>
    <w:rsid w:val="001C0B7F"/>
    <w:rsid w:val="001C75E3"/>
    <w:rsid w:val="0020278D"/>
    <w:rsid w:val="002C60A7"/>
    <w:rsid w:val="00324999"/>
    <w:rsid w:val="00381C9C"/>
    <w:rsid w:val="00425CC8"/>
    <w:rsid w:val="00492BEA"/>
    <w:rsid w:val="005050BE"/>
    <w:rsid w:val="005115E8"/>
    <w:rsid w:val="00594169"/>
    <w:rsid w:val="00622068"/>
    <w:rsid w:val="00646B45"/>
    <w:rsid w:val="00661A6E"/>
    <w:rsid w:val="00690E29"/>
    <w:rsid w:val="006E379A"/>
    <w:rsid w:val="006E5095"/>
    <w:rsid w:val="00777B6D"/>
    <w:rsid w:val="00780987"/>
    <w:rsid w:val="00793D94"/>
    <w:rsid w:val="007C0CAF"/>
    <w:rsid w:val="008B0D8F"/>
    <w:rsid w:val="00905417"/>
    <w:rsid w:val="00910045"/>
    <w:rsid w:val="00961D99"/>
    <w:rsid w:val="009C03F3"/>
    <w:rsid w:val="009C24CD"/>
    <w:rsid w:val="00A334D6"/>
    <w:rsid w:val="00A3647E"/>
    <w:rsid w:val="00A62F24"/>
    <w:rsid w:val="00A93874"/>
    <w:rsid w:val="00AD1B10"/>
    <w:rsid w:val="00AF7F36"/>
    <w:rsid w:val="00B0087B"/>
    <w:rsid w:val="00B34EBF"/>
    <w:rsid w:val="00B435EC"/>
    <w:rsid w:val="00BB1B8D"/>
    <w:rsid w:val="00C87D20"/>
    <w:rsid w:val="00D02DFD"/>
    <w:rsid w:val="00D10FB8"/>
    <w:rsid w:val="00D87A9C"/>
    <w:rsid w:val="00DA792E"/>
    <w:rsid w:val="00DB0DA3"/>
    <w:rsid w:val="00DC206F"/>
    <w:rsid w:val="00DE0028"/>
    <w:rsid w:val="00DE2BF1"/>
    <w:rsid w:val="00E85748"/>
    <w:rsid w:val="00EA238B"/>
    <w:rsid w:val="00F1444A"/>
    <w:rsid w:val="00F50328"/>
    <w:rsid w:val="00F5626B"/>
    <w:rsid w:val="00F82251"/>
    <w:rsid w:val="00F84A37"/>
    <w:rsid w:val="00F96C15"/>
    <w:rsid w:val="12F42DCA"/>
    <w:rsid w:val="4AA24679"/>
    <w:rsid w:val="5AB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526</Words>
  <Characters>618</Characters>
  <Lines>6</Lines>
  <Paragraphs>1</Paragraphs>
  <TotalTime>314</TotalTime>
  <ScaleCrop>false</ScaleCrop>
  <LinksUpToDate>false</LinksUpToDate>
  <CharactersWithSpaces>771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2020-11-05T07:34:00Z</dcterms:created>
  <dc:creator>USER-</dc:creator>
  <cp:lastModifiedBy>立云 辰</cp:lastModifiedBy>
  <cp:lastPrinted>2020-11-06T07:16:00Z</cp:lastPrinted>
  <dcterms:modified xsi:type="dcterms:W3CDTF">2022-08-28T03:51:33Z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CA284CDF166F413AAA287798CA52EA5C</vt:lpwstr>
  </property>
</Properties>
</file>