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/>
          <w:kern w:val="0"/>
          <w:sz w:val="44"/>
          <w:szCs w:val="44"/>
        </w:rPr>
        <w:t>年转移支付执行情况说明</w:t>
      </w:r>
    </w:p>
    <w:p>
      <w:pPr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年我县公共财政预算</w:t>
      </w:r>
      <w:r>
        <w:rPr>
          <w:rFonts w:ascii="Times New Roman" w:hAnsi="Times New Roman" w:eastAsia="仿宋_GB2312"/>
          <w:sz w:val="32"/>
          <w:szCs w:val="32"/>
        </w:rPr>
        <w:t>上级补助收入为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223111</w:t>
      </w:r>
      <w:r>
        <w:rPr>
          <w:rFonts w:ascii="Times New Roman" w:hAnsi="Times New Roman" w:eastAsia="仿宋_GB2312"/>
          <w:sz w:val="32"/>
          <w:szCs w:val="32"/>
        </w:rPr>
        <w:t>万元。主要补助项目是：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税收返还收入7559万元（其中:消费税和增值税两税税收返还收3655万元、所得税基数返还收入817万元、成品油价格和税费改革税收返还收入573万元；增值税“五五分享”税收返还收入398万元；其他税收返还收入2116万元)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（2）体制补助收入117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（3）均衡性转移支付补助收入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26893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（4）县级基本财力保障机制奖补资金收入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28258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）补充县区财力转移支付收入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9828万元；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）结算补助收入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1992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）产粮（油）大县奖励资金收入32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万元;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）重点生态功能区转移支付收入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9999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）固定数额补助收入119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）革命老区转移支付收入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1816</w:t>
      </w:r>
      <w:r>
        <w:rPr>
          <w:rFonts w:ascii="Times New Roman" w:hAnsi="Times New Roman" w:eastAsia="仿宋_GB2312"/>
          <w:sz w:val="32"/>
          <w:szCs w:val="32"/>
        </w:rPr>
        <w:t>万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</w:rPr>
        <w:t>）民族地区转移支付收入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欠发达地区（</w:t>
      </w:r>
      <w:r>
        <w:rPr>
          <w:rFonts w:ascii="Times New Roman" w:hAnsi="Times New Roman" w:eastAsia="仿宋_GB2312"/>
          <w:color w:val="auto"/>
          <w:sz w:val="32"/>
          <w:szCs w:val="32"/>
        </w:rPr>
        <w:t>贫困地区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转移支付收入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6700</w:t>
      </w:r>
      <w:r>
        <w:rPr>
          <w:rFonts w:ascii="Times New Roman" w:hAnsi="Times New Roman" w:eastAsia="仿宋_GB2312"/>
          <w:color w:val="auto"/>
          <w:sz w:val="32"/>
          <w:szCs w:val="32"/>
        </w:rPr>
        <w:t>万元;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）增值税留抵退税转移支付收入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815万元；</w:t>
      </w:r>
    </w:p>
    <w:p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（14）其他退税减税降费转移支付支出1505万元；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）公共安全共同财政事权转移支付收入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2091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）教育共同财政事权转移支付收入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9864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）文化旅游体育与传媒共同财政事权转移支付收入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3291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）社会保障和就业共同财政事权转移支付收入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25670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）医疗卫生共同财政事权转移支付收入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7092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）节能环保共同财政事权转移支付收入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384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）农林水共同财政事权转移支付收入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10483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）交通运输共同财政事权转移支付收入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3097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）住房保障共同财政事权转移支付收入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5806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）灾害防治及应急管理共同财政事权转移支付收入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2469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）其他一般性转移支付收入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1046</w:t>
      </w:r>
      <w:r>
        <w:rPr>
          <w:rFonts w:ascii="Times New Roman" w:hAnsi="Times New Roman" w:eastAsia="仿宋_GB2312"/>
          <w:sz w:val="32"/>
          <w:szCs w:val="32"/>
        </w:rPr>
        <w:t>万元；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）专项转移支付收入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38194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政府性基金预算收到上级补助收入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4663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3FB7"/>
    <w:rsid w:val="31860C5A"/>
    <w:rsid w:val="3DC86EA5"/>
    <w:rsid w:val="3FE02A2F"/>
    <w:rsid w:val="49D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2023-10-30T08:15:13Z</dcterms:created>
  <dc:creator>Administrator</dc:creator>
  <cp:lastModifiedBy>约拿</cp:lastModifiedBy>
  <dcterms:modified xsi:type="dcterms:W3CDTF">2023-10-30T09:12:09Z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E1870656F76C4814A0C63BD0DF624A9A</vt:lpwstr>
  </property>
</Properties>
</file>