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dashed" w:color="EBEBEB" w:sz="6" w:space="23"/>
        </w:pBdr>
        <w:shd w:val="clear" w:color="auto" w:fill="FFFFFF"/>
        <w:spacing w:line="360" w:lineRule="auto"/>
        <w:jc w:val="center"/>
        <w:outlineLvl w:val="0"/>
        <w:rPr>
          <w:rFonts w:hint="eastAsia" w:ascii="仿宋" w:hAnsi="仿宋" w:eastAsia="仿宋" w:cs="仿宋"/>
          <w:b/>
          <w:bCs/>
          <w:color w:val="000000"/>
          <w:kern w:val="36"/>
          <w:sz w:val="44"/>
          <w:szCs w:val="44"/>
        </w:rPr>
      </w:pPr>
      <w:r>
        <w:rPr>
          <w:rFonts w:hint="eastAsia" w:ascii="仿宋" w:hAnsi="仿宋" w:eastAsia="仿宋" w:cs="仿宋"/>
          <w:b/>
          <w:bCs/>
          <w:color w:val="000000"/>
          <w:kern w:val="36"/>
          <w:sz w:val="44"/>
          <w:szCs w:val="44"/>
          <w:lang w:val="en-US" w:eastAsia="zh-CN"/>
        </w:rPr>
        <w:t>兴安</w:t>
      </w:r>
      <w:r>
        <w:rPr>
          <w:rFonts w:hint="eastAsia" w:ascii="仿宋" w:hAnsi="仿宋" w:eastAsia="仿宋" w:cs="仿宋"/>
          <w:b/>
          <w:bCs/>
          <w:color w:val="000000"/>
          <w:kern w:val="36"/>
          <w:sz w:val="44"/>
          <w:szCs w:val="44"/>
        </w:rPr>
        <w:t>县202</w:t>
      </w:r>
      <w:r>
        <w:rPr>
          <w:rFonts w:hint="eastAsia" w:ascii="仿宋" w:hAnsi="仿宋" w:eastAsia="仿宋" w:cs="仿宋"/>
          <w:b/>
          <w:bCs/>
          <w:color w:val="000000"/>
          <w:kern w:val="36"/>
          <w:sz w:val="44"/>
          <w:szCs w:val="44"/>
          <w:lang w:val="en-US" w:eastAsia="zh-CN"/>
        </w:rPr>
        <w:t>2</w:t>
      </w:r>
      <w:r>
        <w:rPr>
          <w:rFonts w:hint="eastAsia" w:ascii="仿宋" w:hAnsi="仿宋" w:eastAsia="仿宋" w:cs="仿宋"/>
          <w:b/>
          <w:bCs/>
          <w:color w:val="000000"/>
          <w:kern w:val="36"/>
          <w:sz w:val="44"/>
          <w:szCs w:val="44"/>
        </w:rPr>
        <w:t>年</w:t>
      </w:r>
      <w:r>
        <w:rPr>
          <w:rFonts w:hint="eastAsia" w:ascii="仿宋" w:hAnsi="仿宋" w:eastAsia="仿宋" w:cs="仿宋"/>
          <w:b/>
          <w:bCs/>
          <w:color w:val="000000"/>
          <w:kern w:val="36"/>
          <w:sz w:val="44"/>
          <w:szCs w:val="44"/>
          <w:lang w:val="en-US" w:eastAsia="zh-CN"/>
        </w:rPr>
        <w:t>度</w:t>
      </w:r>
      <w:r>
        <w:rPr>
          <w:rFonts w:hint="eastAsia" w:ascii="仿宋" w:hAnsi="仿宋" w:eastAsia="仿宋" w:cs="仿宋"/>
          <w:b/>
          <w:bCs/>
          <w:color w:val="000000"/>
          <w:kern w:val="36"/>
          <w:sz w:val="44"/>
          <w:szCs w:val="44"/>
        </w:rPr>
        <w:t>预算绩效管理工作总结</w:t>
      </w:r>
    </w:p>
    <w:p>
      <w:pPr>
        <w:widowControl/>
        <w:pBdr>
          <w:bottom w:val="dashed" w:color="EBEBEB" w:sz="6" w:space="23"/>
        </w:pBdr>
        <w:shd w:val="clear" w:color="auto" w:fill="FFFFFF"/>
        <w:spacing w:line="360" w:lineRule="auto"/>
        <w:jc w:val="center"/>
        <w:outlineLvl w:val="0"/>
        <w:rPr>
          <w:rFonts w:hint="eastAsia" w:ascii="仿宋" w:hAnsi="仿宋" w:eastAsia="仿宋" w:cs="仿宋"/>
          <w:b/>
          <w:bCs/>
          <w:color w:val="000000"/>
          <w:kern w:val="36"/>
          <w:sz w:val="36"/>
          <w:szCs w:val="36"/>
        </w:rPr>
      </w:pPr>
    </w:p>
    <w:p>
      <w:pPr>
        <w:widowControl/>
        <w:pBdr>
          <w:bottom w:val="dashed" w:color="EBEBEB" w:sz="6" w:space="23"/>
        </w:pBdr>
        <w:shd w:val="clear" w:color="auto" w:fill="FFFFFF"/>
        <w:spacing w:line="360" w:lineRule="auto"/>
        <w:ind w:firstLine="722"/>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为推进财政科学化精细化管理，强化预算支出的责任和效率，提高财政资金使用效益。</w:t>
      </w:r>
      <w:r>
        <w:rPr>
          <w:rFonts w:hint="eastAsia" w:ascii="仿宋" w:hAnsi="仿宋" w:eastAsia="仿宋" w:cs="仿宋"/>
          <w:color w:val="000000"/>
          <w:sz w:val="36"/>
          <w:szCs w:val="36"/>
        </w:rPr>
        <w:t>根据《中共中央国务院关于全面实施预算绩效管理的意见》（中发〔2018〕34号）</w:t>
      </w:r>
      <w:r>
        <w:rPr>
          <w:rFonts w:hint="eastAsia" w:ascii="仿宋" w:hAnsi="仿宋" w:eastAsia="仿宋" w:cs="仿宋"/>
          <w:color w:val="000000"/>
          <w:sz w:val="36"/>
          <w:szCs w:val="36"/>
          <w:lang w:eastAsia="zh-CN"/>
        </w:rPr>
        <w:t>、</w:t>
      </w:r>
      <w:r>
        <w:rPr>
          <w:rFonts w:hint="eastAsia" w:ascii="仿宋" w:hAnsi="仿宋" w:eastAsia="仿宋" w:cs="仿宋"/>
          <w:color w:val="000000"/>
          <w:sz w:val="36"/>
          <w:szCs w:val="36"/>
        </w:rPr>
        <w:t>《中共广西壮族自治区委员会</w:t>
      </w:r>
      <w:r>
        <w:rPr>
          <w:rFonts w:hint="eastAsia" w:ascii="仿宋" w:hAnsi="仿宋" w:eastAsia="仿宋" w:cs="仿宋"/>
          <w:color w:val="000000"/>
          <w:sz w:val="36"/>
          <w:szCs w:val="36"/>
          <w:lang w:val="en-US" w:eastAsia="zh-CN"/>
        </w:rPr>
        <w:t xml:space="preserve"> </w:t>
      </w:r>
      <w:r>
        <w:rPr>
          <w:rFonts w:hint="eastAsia" w:ascii="仿宋" w:hAnsi="仿宋" w:eastAsia="仿宋" w:cs="仿宋"/>
          <w:color w:val="000000"/>
          <w:sz w:val="36"/>
          <w:szCs w:val="36"/>
        </w:rPr>
        <w:t>广西壮族自治区人民政府关于贯彻落实全面实施预算绩效管理的意见》（桂发〔2018〕26号）</w:t>
      </w:r>
      <w:r>
        <w:rPr>
          <w:rFonts w:hint="eastAsia" w:ascii="仿宋" w:hAnsi="仿宋" w:eastAsia="仿宋" w:cs="仿宋"/>
          <w:color w:val="000000"/>
          <w:sz w:val="36"/>
          <w:szCs w:val="36"/>
          <w:lang w:eastAsia="zh-CN"/>
        </w:rPr>
        <w:t>、</w:t>
      </w:r>
      <w:r>
        <w:rPr>
          <w:rFonts w:hint="eastAsia" w:ascii="仿宋" w:hAnsi="仿宋" w:eastAsia="仿宋" w:cs="仿宋"/>
          <w:sz w:val="36"/>
          <w:szCs w:val="36"/>
          <w:lang w:eastAsia="zh-CN"/>
        </w:rPr>
        <w:t>兴安县人民政府</w:t>
      </w:r>
      <w:r>
        <w:rPr>
          <w:rFonts w:hint="eastAsia" w:ascii="仿宋" w:hAnsi="仿宋" w:eastAsia="仿宋" w:cs="仿宋"/>
          <w:sz w:val="36"/>
          <w:szCs w:val="36"/>
        </w:rPr>
        <w:t>关于印发</w:t>
      </w:r>
      <w:r>
        <w:rPr>
          <w:rFonts w:hint="eastAsia" w:ascii="仿宋" w:hAnsi="仿宋" w:eastAsia="仿宋" w:cs="仿宋"/>
          <w:color w:val="000000"/>
          <w:sz w:val="36"/>
          <w:szCs w:val="36"/>
          <w:lang w:eastAsia="zh-CN"/>
        </w:rPr>
        <w:t>《兴安县关于</w:t>
      </w:r>
      <w:r>
        <w:rPr>
          <w:rFonts w:hint="eastAsia" w:ascii="仿宋" w:hAnsi="仿宋" w:eastAsia="仿宋" w:cs="仿宋"/>
          <w:color w:val="000000"/>
          <w:sz w:val="36"/>
          <w:szCs w:val="36"/>
        </w:rPr>
        <w:t>贯彻落实全面实施预算绩效管理的意见</w:t>
      </w:r>
      <w:r>
        <w:rPr>
          <w:rFonts w:hint="eastAsia" w:ascii="仿宋" w:hAnsi="仿宋" w:eastAsia="仿宋" w:cs="仿宋"/>
          <w:color w:val="000000"/>
          <w:sz w:val="36"/>
          <w:szCs w:val="36"/>
          <w:lang w:eastAsia="zh-CN"/>
        </w:rPr>
        <w:t>》</w:t>
      </w:r>
      <w:r>
        <w:rPr>
          <w:rFonts w:hint="eastAsia" w:ascii="仿宋" w:hAnsi="仿宋" w:eastAsia="仿宋" w:cs="仿宋"/>
          <w:sz w:val="36"/>
          <w:szCs w:val="36"/>
        </w:rPr>
        <w:t>的通知</w:t>
      </w:r>
      <w:r>
        <w:rPr>
          <w:rFonts w:hint="eastAsia" w:ascii="仿宋" w:hAnsi="仿宋" w:eastAsia="仿宋" w:cs="仿宋"/>
          <w:sz w:val="36"/>
          <w:szCs w:val="36"/>
          <w:lang w:val="en-US" w:eastAsia="zh-CN"/>
        </w:rPr>
        <w:t>精神，</w:t>
      </w:r>
      <w:r>
        <w:rPr>
          <w:rFonts w:hint="eastAsia" w:ascii="仿宋" w:hAnsi="仿宋" w:eastAsia="仿宋" w:cs="仿宋"/>
          <w:color w:val="000000"/>
          <w:kern w:val="0"/>
          <w:sz w:val="36"/>
          <w:szCs w:val="36"/>
        </w:rPr>
        <w:t>我县积极探索开展预算绩效管理，加强项目全周期跟踪评价，将绩效理念融入预算管理全过程，以绩效为导向，优化财政资源配置和部门支出结构，推动财政资金实现更高水平的聚力提效。现将202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年预算绩效管理工作总结如下：</w:t>
      </w:r>
    </w:p>
    <w:p>
      <w:pPr>
        <w:widowControl/>
        <w:numPr>
          <w:ilvl w:val="0"/>
          <w:numId w:val="1"/>
        </w:numPr>
        <w:pBdr>
          <w:bottom w:val="dashed" w:color="EBEBEB" w:sz="6" w:space="23"/>
        </w:pBdr>
        <w:shd w:val="clear" w:color="auto" w:fill="FFFFFF"/>
        <w:spacing w:line="360" w:lineRule="auto"/>
        <w:ind w:firstLine="722"/>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完善制度建设，压实主体责任</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今年以来，我县认真贯彻落实自治</w:t>
      </w:r>
      <w:r>
        <w:rPr>
          <w:rFonts w:hint="eastAsia" w:ascii="仿宋" w:hAnsi="仿宋" w:eastAsia="仿宋" w:cs="仿宋"/>
          <w:color w:val="000000"/>
          <w:kern w:val="0"/>
          <w:sz w:val="36"/>
          <w:szCs w:val="36"/>
          <w:lang w:val="en-US" w:eastAsia="zh-CN"/>
        </w:rPr>
        <w:t>区</w:t>
      </w:r>
      <w:r>
        <w:rPr>
          <w:rFonts w:hint="eastAsia" w:ascii="仿宋" w:hAnsi="仿宋" w:eastAsia="仿宋" w:cs="仿宋"/>
          <w:color w:val="000000"/>
          <w:kern w:val="0"/>
          <w:sz w:val="36"/>
          <w:szCs w:val="36"/>
        </w:rPr>
        <w:t>党委、政府各项部署要求，坚持将实施全面预算绩效管理工作提升质量作为财政制度改革的重点工作、摆在首要位置，强化目标导向和问题导向，进一步修订完善制度机制，理顺管理体系，规范工作程序，严格绩效管控，规范预算执行。做到全方位推进，构建预算绩效管理新格局。一是建立健全全面预算管理制度体系，出台了系列管理</w:t>
      </w:r>
      <w:r>
        <w:rPr>
          <w:rFonts w:hint="eastAsia" w:ascii="仿宋" w:hAnsi="仿宋" w:eastAsia="仿宋" w:cs="仿宋"/>
          <w:color w:val="000000"/>
          <w:kern w:val="0"/>
          <w:sz w:val="36"/>
          <w:szCs w:val="36"/>
          <w:lang w:val="en-US" w:eastAsia="zh-CN"/>
        </w:rPr>
        <w:t>和</w:t>
      </w:r>
      <w:r>
        <w:rPr>
          <w:rFonts w:hint="eastAsia" w:ascii="仿宋" w:hAnsi="仿宋" w:eastAsia="仿宋" w:cs="仿宋"/>
          <w:color w:val="000000"/>
          <w:kern w:val="0"/>
          <w:sz w:val="36"/>
          <w:szCs w:val="36"/>
        </w:rPr>
        <w:t>运行文件</w:t>
      </w:r>
      <w:r>
        <w:rPr>
          <w:rFonts w:hint="eastAsia" w:ascii="仿宋" w:hAnsi="仿宋" w:eastAsia="仿宋" w:cs="仿宋"/>
          <w:sz w:val="36"/>
          <w:szCs w:val="36"/>
          <w:lang w:eastAsia="zh-CN"/>
        </w:rPr>
        <w:t>，进一步完善了预算管理工作。</w:t>
      </w:r>
      <w:r>
        <w:rPr>
          <w:rFonts w:hint="eastAsia" w:ascii="仿宋" w:hAnsi="仿宋" w:eastAsia="仿宋" w:cs="仿宋"/>
          <w:color w:val="000000"/>
          <w:kern w:val="0"/>
          <w:sz w:val="36"/>
          <w:szCs w:val="36"/>
          <w:lang w:val="en-US" w:eastAsia="zh-CN"/>
        </w:rPr>
        <w:t>二</w:t>
      </w:r>
      <w:r>
        <w:rPr>
          <w:rFonts w:hint="eastAsia" w:ascii="仿宋" w:hAnsi="仿宋" w:eastAsia="仿宋" w:cs="仿宋"/>
          <w:color w:val="000000"/>
          <w:kern w:val="0"/>
          <w:sz w:val="36"/>
          <w:szCs w:val="36"/>
        </w:rPr>
        <w:t>是严格按照《</w:t>
      </w:r>
      <w:r>
        <w:rPr>
          <w:rFonts w:hint="eastAsia" w:ascii="仿宋" w:hAnsi="仿宋" w:eastAsia="仿宋" w:cs="仿宋"/>
          <w:color w:val="000000"/>
          <w:kern w:val="0"/>
          <w:sz w:val="36"/>
          <w:szCs w:val="36"/>
          <w:lang w:val="en-US" w:eastAsia="zh-CN"/>
        </w:rPr>
        <w:t>兴安</w:t>
      </w:r>
      <w:r>
        <w:rPr>
          <w:rFonts w:hint="eastAsia" w:ascii="仿宋" w:hAnsi="仿宋" w:eastAsia="仿宋" w:cs="仿宋"/>
          <w:color w:val="000000"/>
          <w:kern w:val="0"/>
          <w:sz w:val="36"/>
          <w:szCs w:val="36"/>
        </w:rPr>
        <w:t>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年度全面实施预算绩效管理工作方案》，压实工作责任、细化工作任务、限定时间节点。</w:t>
      </w:r>
      <w:r>
        <w:rPr>
          <w:rFonts w:hint="eastAsia" w:ascii="仿宋" w:hAnsi="仿宋" w:eastAsia="仿宋" w:cs="仿宋"/>
          <w:color w:val="000000"/>
          <w:kern w:val="0"/>
          <w:sz w:val="36"/>
          <w:szCs w:val="36"/>
          <w:lang w:val="en-US" w:eastAsia="zh-CN"/>
        </w:rPr>
        <w:t>三</w:t>
      </w:r>
      <w:r>
        <w:rPr>
          <w:rFonts w:hint="eastAsia" w:ascii="仿宋" w:hAnsi="仿宋" w:eastAsia="仿宋" w:cs="仿宋"/>
          <w:color w:val="000000"/>
          <w:kern w:val="0"/>
          <w:sz w:val="36"/>
          <w:szCs w:val="36"/>
        </w:rPr>
        <w:t>是强化宣传培训，在每个工作节点组织部门单位、“第三方”专项绩效培训，解决财务人员频繁换岗问题，</w:t>
      </w:r>
      <w:r>
        <w:rPr>
          <w:rFonts w:hint="eastAsia" w:ascii="仿宋" w:hAnsi="仿宋" w:eastAsia="仿宋" w:cs="仿宋"/>
          <w:color w:val="auto"/>
          <w:kern w:val="0"/>
          <w:sz w:val="36"/>
          <w:szCs w:val="36"/>
        </w:rPr>
        <w:t>目前已培训</w:t>
      </w:r>
      <w:r>
        <w:rPr>
          <w:rFonts w:hint="eastAsia" w:ascii="仿宋" w:hAnsi="仿宋" w:eastAsia="仿宋" w:cs="仿宋"/>
          <w:color w:val="auto"/>
          <w:kern w:val="0"/>
          <w:sz w:val="36"/>
          <w:szCs w:val="36"/>
          <w:lang w:val="en-US" w:eastAsia="zh-CN"/>
        </w:rPr>
        <w:t>2</w:t>
      </w:r>
      <w:r>
        <w:rPr>
          <w:rFonts w:hint="eastAsia" w:ascii="仿宋" w:hAnsi="仿宋" w:eastAsia="仿宋" w:cs="仿宋"/>
          <w:color w:val="auto"/>
          <w:kern w:val="0"/>
          <w:sz w:val="36"/>
          <w:szCs w:val="36"/>
        </w:rPr>
        <w:t>次，累计培训</w:t>
      </w:r>
      <w:r>
        <w:rPr>
          <w:rFonts w:hint="eastAsia" w:ascii="仿宋" w:hAnsi="仿宋" w:eastAsia="仿宋" w:cs="仿宋"/>
          <w:color w:val="auto"/>
          <w:kern w:val="0"/>
          <w:sz w:val="36"/>
          <w:szCs w:val="36"/>
          <w:lang w:val="en-US" w:eastAsia="zh-CN"/>
        </w:rPr>
        <w:t>250</w:t>
      </w:r>
      <w:r>
        <w:rPr>
          <w:rFonts w:hint="eastAsia" w:ascii="仿宋" w:hAnsi="仿宋" w:eastAsia="仿宋" w:cs="仿宋"/>
          <w:color w:val="auto"/>
          <w:kern w:val="0"/>
          <w:sz w:val="36"/>
          <w:szCs w:val="36"/>
        </w:rPr>
        <w:t>人次</w:t>
      </w:r>
      <w:r>
        <w:rPr>
          <w:rFonts w:hint="eastAsia" w:ascii="仿宋" w:hAnsi="仿宋" w:eastAsia="仿宋" w:cs="仿宋"/>
          <w:color w:val="000000"/>
          <w:kern w:val="0"/>
          <w:sz w:val="36"/>
          <w:szCs w:val="36"/>
        </w:rPr>
        <w:t>。</w:t>
      </w:r>
      <w:r>
        <w:rPr>
          <w:rFonts w:hint="eastAsia" w:ascii="仿宋" w:hAnsi="仿宋" w:eastAsia="仿宋" w:cs="仿宋"/>
          <w:color w:val="000000"/>
          <w:kern w:val="0"/>
          <w:sz w:val="36"/>
          <w:szCs w:val="36"/>
          <w:lang w:val="en-US" w:eastAsia="zh-CN"/>
        </w:rPr>
        <w:t>四</w:t>
      </w:r>
      <w:r>
        <w:rPr>
          <w:rFonts w:hint="eastAsia" w:ascii="仿宋" w:hAnsi="仿宋" w:eastAsia="仿宋" w:cs="仿宋"/>
          <w:color w:val="000000"/>
          <w:kern w:val="0"/>
          <w:sz w:val="36"/>
          <w:szCs w:val="36"/>
        </w:rPr>
        <w:t>是严把审核关，参照《广西预算绩效管理指标库》设置目标，</w:t>
      </w:r>
      <w:r>
        <w:rPr>
          <w:rFonts w:hint="eastAsia" w:ascii="仿宋" w:hAnsi="仿宋" w:eastAsia="仿宋" w:cs="仿宋"/>
          <w:color w:val="000000"/>
          <w:kern w:val="0"/>
          <w:sz w:val="36"/>
          <w:szCs w:val="36"/>
          <w:lang w:val="en-US" w:eastAsia="zh-CN"/>
        </w:rPr>
        <w:t>结合兴安的实际，</w:t>
      </w:r>
      <w:r>
        <w:rPr>
          <w:rFonts w:hint="eastAsia" w:ascii="仿宋" w:hAnsi="仿宋" w:eastAsia="仿宋" w:cs="仿宋"/>
          <w:color w:val="000000"/>
          <w:kern w:val="0"/>
          <w:sz w:val="36"/>
          <w:szCs w:val="36"/>
        </w:rPr>
        <w:t>财政局指导组织各部门单位填报绩效目标、</w:t>
      </w:r>
      <w:r>
        <w:rPr>
          <w:rFonts w:hint="eastAsia" w:ascii="仿宋" w:hAnsi="仿宋" w:eastAsia="仿宋" w:cs="仿宋"/>
          <w:color w:val="000000"/>
          <w:kern w:val="0"/>
          <w:sz w:val="36"/>
          <w:szCs w:val="36"/>
          <w:lang w:val="en-US" w:eastAsia="zh-CN"/>
        </w:rPr>
        <w:t>进行运行</w:t>
      </w:r>
      <w:r>
        <w:rPr>
          <w:rFonts w:hint="eastAsia" w:ascii="仿宋" w:hAnsi="仿宋" w:eastAsia="仿宋" w:cs="仿宋"/>
          <w:color w:val="000000"/>
          <w:kern w:val="0"/>
          <w:sz w:val="36"/>
          <w:szCs w:val="36"/>
        </w:rPr>
        <w:t>监控、</w:t>
      </w:r>
      <w:r>
        <w:rPr>
          <w:rFonts w:hint="eastAsia" w:ascii="仿宋" w:hAnsi="仿宋" w:eastAsia="仿宋" w:cs="仿宋"/>
          <w:color w:val="000000"/>
          <w:kern w:val="0"/>
          <w:sz w:val="36"/>
          <w:szCs w:val="36"/>
          <w:lang w:val="en-US" w:eastAsia="zh-CN"/>
        </w:rPr>
        <w:t>开展</w:t>
      </w:r>
      <w:r>
        <w:rPr>
          <w:rFonts w:hint="eastAsia" w:ascii="仿宋" w:hAnsi="仿宋" w:eastAsia="仿宋" w:cs="仿宋"/>
          <w:color w:val="000000"/>
          <w:kern w:val="0"/>
          <w:sz w:val="36"/>
          <w:szCs w:val="36"/>
        </w:rPr>
        <w:t>绩效自评，财政局组织专人进行审核</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反馈。四是上线运行预算管理一体化</w:t>
      </w:r>
      <w:r>
        <w:rPr>
          <w:rFonts w:hint="eastAsia" w:ascii="仿宋" w:hAnsi="仿宋" w:eastAsia="仿宋" w:cs="仿宋"/>
          <w:color w:val="000000"/>
          <w:kern w:val="0"/>
          <w:sz w:val="36"/>
          <w:szCs w:val="36"/>
          <w:lang w:val="en-US" w:eastAsia="zh-CN"/>
        </w:rPr>
        <w:t>系</w:t>
      </w:r>
      <w:r>
        <w:rPr>
          <w:rFonts w:hint="eastAsia" w:ascii="仿宋" w:hAnsi="仿宋" w:eastAsia="仿宋" w:cs="仿宋"/>
          <w:color w:val="000000"/>
          <w:kern w:val="0"/>
          <w:sz w:val="36"/>
          <w:szCs w:val="36"/>
        </w:rPr>
        <w:t>统，运行绩效管理全过程在线申报、在线审核、在线跟踪、在线查询，初步实现预算与绩效管理一体化，提高预算绩效管理效率。</w:t>
      </w:r>
    </w:p>
    <w:p>
      <w:pPr>
        <w:widowControl/>
        <w:numPr>
          <w:ilvl w:val="0"/>
          <w:numId w:val="1"/>
        </w:numPr>
        <w:pBdr>
          <w:bottom w:val="dashed" w:color="EBEBEB" w:sz="6" w:space="23"/>
        </w:pBdr>
        <w:shd w:val="clear" w:color="auto" w:fill="FFFFFF"/>
        <w:spacing w:line="360" w:lineRule="auto"/>
        <w:ind w:left="0" w:leftChars="0" w:firstLine="722" w:firstLineChars="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稳步工作推进，落实全程管控</w:t>
      </w:r>
    </w:p>
    <w:p>
      <w:pPr>
        <w:widowControl/>
        <w:numPr>
          <w:ilvl w:val="0"/>
          <w:numId w:val="2"/>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绩效目标管理全覆盖</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各预算</w:t>
      </w:r>
      <w:r>
        <w:rPr>
          <w:rFonts w:hint="eastAsia" w:ascii="仿宋" w:hAnsi="仿宋" w:eastAsia="仿宋" w:cs="仿宋"/>
          <w:color w:val="000000"/>
          <w:kern w:val="0"/>
          <w:sz w:val="36"/>
          <w:szCs w:val="36"/>
          <w:lang w:val="en-US" w:eastAsia="zh-CN"/>
        </w:rPr>
        <w:t>部门（</w:t>
      </w:r>
      <w:r>
        <w:rPr>
          <w:rFonts w:hint="eastAsia" w:ascii="仿宋" w:hAnsi="仿宋" w:eastAsia="仿宋" w:cs="仿宋"/>
          <w:color w:val="000000"/>
          <w:kern w:val="0"/>
          <w:sz w:val="36"/>
          <w:szCs w:val="36"/>
        </w:rPr>
        <w:t>单位</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在编制202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年预算时，同步编制所有项目和部门整体预算的绩效目标，完成202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度本单位所有项目、上级转移支付、部门整体支出绩效申报表的填报，并由财政部门对其目标设置的合理性进行全面审核；同时，各单位及时上报部门整体绩效目标申报表及项目绩效目标申报表，并对本年度追加项目及上级转移支付项目要求填报、查缺补漏，做到绩效目标管理全覆盖。</w:t>
      </w:r>
      <w:r>
        <w:rPr>
          <w:rFonts w:hint="eastAsia" w:ascii="仿宋" w:hAnsi="仿宋" w:eastAsia="仿宋" w:cs="仿宋"/>
          <w:color w:val="auto"/>
          <w:kern w:val="0"/>
          <w:sz w:val="36"/>
          <w:szCs w:val="36"/>
        </w:rPr>
        <w:t>共完成了</w:t>
      </w:r>
      <w:r>
        <w:rPr>
          <w:rFonts w:hint="eastAsia" w:ascii="仿宋" w:hAnsi="仿宋" w:eastAsia="仿宋" w:cs="仿宋"/>
          <w:color w:val="auto"/>
          <w:kern w:val="0"/>
          <w:sz w:val="36"/>
          <w:szCs w:val="36"/>
          <w:lang w:val="en-US" w:eastAsia="zh-CN"/>
        </w:rPr>
        <w:t>218</w:t>
      </w:r>
      <w:r>
        <w:rPr>
          <w:rFonts w:hint="eastAsia" w:ascii="仿宋" w:hAnsi="仿宋" w:eastAsia="仿宋" w:cs="仿宋"/>
          <w:color w:val="auto"/>
          <w:kern w:val="0"/>
          <w:sz w:val="36"/>
          <w:szCs w:val="36"/>
        </w:rPr>
        <w:t>个单位</w:t>
      </w:r>
      <w:r>
        <w:rPr>
          <w:rFonts w:hint="eastAsia" w:ascii="仿宋" w:hAnsi="仿宋" w:eastAsia="仿宋" w:cs="仿宋"/>
          <w:color w:val="auto"/>
          <w:kern w:val="0"/>
          <w:sz w:val="36"/>
          <w:szCs w:val="36"/>
          <w:lang w:val="en-US" w:eastAsia="zh-CN"/>
        </w:rPr>
        <w:t>4570个项目</w:t>
      </w:r>
      <w:r>
        <w:rPr>
          <w:rFonts w:hint="eastAsia" w:ascii="仿宋" w:hAnsi="仿宋" w:eastAsia="仿宋" w:cs="仿宋"/>
          <w:color w:val="auto"/>
          <w:kern w:val="0"/>
          <w:sz w:val="36"/>
          <w:szCs w:val="36"/>
          <w:lang w:eastAsia="zh-CN"/>
        </w:rPr>
        <w:t>、</w:t>
      </w:r>
      <w:r>
        <w:rPr>
          <w:rFonts w:hint="eastAsia" w:ascii="仿宋" w:hAnsi="仿宋" w:eastAsia="仿宋" w:cs="仿宋"/>
          <w:color w:val="auto"/>
          <w:kern w:val="0"/>
          <w:sz w:val="36"/>
          <w:szCs w:val="36"/>
          <w:lang w:val="en-US" w:eastAsia="zh-CN"/>
        </w:rPr>
        <w:t>80</w:t>
      </w:r>
      <w:r>
        <w:rPr>
          <w:rFonts w:hint="eastAsia" w:ascii="仿宋" w:hAnsi="仿宋" w:eastAsia="仿宋" w:cs="仿宋"/>
          <w:color w:val="auto"/>
          <w:kern w:val="0"/>
          <w:sz w:val="36"/>
          <w:szCs w:val="36"/>
        </w:rPr>
        <w:t>个部门预算项目目标设置</w:t>
      </w:r>
      <w:r>
        <w:rPr>
          <w:rFonts w:hint="eastAsia" w:ascii="仿宋" w:hAnsi="仿宋" w:eastAsia="仿宋" w:cs="仿宋"/>
          <w:color w:val="auto"/>
          <w:kern w:val="0"/>
          <w:sz w:val="36"/>
          <w:szCs w:val="36"/>
          <w:lang w:val="en-US" w:eastAsia="zh-CN"/>
        </w:rPr>
        <w:t>和</w:t>
      </w:r>
      <w:r>
        <w:rPr>
          <w:rFonts w:hint="eastAsia" w:ascii="仿宋" w:hAnsi="仿宋" w:eastAsia="仿宋" w:cs="仿宋"/>
          <w:color w:val="auto"/>
          <w:kern w:val="0"/>
          <w:sz w:val="36"/>
          <w:szCs w:val="36"/>
        </w:rPr>
        <w:t>目标审核，并</w:t>
      </w:r>
      <w:r>
        <w:rPr>
          <w:rFonts w:hint="eastAsia" w:ascii="仿宋" w:hAnsi="仿宋" w:eastAsia="仿宋" w:cs="仿宋"/>
          <w:color w:val="000000"/>
          <w:kern w:val="0"/>
          <w:sz w:val="36"/>
          <w:szCs w:val="36"/>
        </w:rPr>
        <w:t>将绩效目标、指标审核结果反馈给各部门与相关业务股室，作为预算执行的重要依据。</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组织部门开展项目事前绩效评估。</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themeColor="text1"/>
          <w:kern w:val="0"/>
          <w:sz w:val="36"/>
          <w:szCs w:val="36"/>
          <w14:textFill>
            <w14:solidFill>
              <w14:schemeClr w14:val="tx1"/>
            </w14:solidFill>
          </w14:textFill>
        </w:rPr>
      </w:pPr>
      <w:r>
        <w:rPr>
          <w:rFonts w:hint="eastAsia" w:ascii="仿宋" w:hAnsi="仿宋" w:eastAsia="仿宋" w:cs="仿宋"/>
          <w:color w:val="000000"/>
          <w:kern w:val="0"/>
          <w:sz w:val="36"/>
          <w:szCs w:val="36"/>
          <w:lang w:val="en-US" w:eastAsia="zh-CN"/>
        </w:rPr>
        <w:t>开展</w:t>
      </w:r>
      <w:r>
        <w:rPr>
          <w:rFonts w:hint="eastAsia" w:ascii="仿宋" w:hAnsi="仿宋" w:eastAsia="仿宋" w:cs="仿宋"/>
          <w:color w:val="000000"/>
          <w:kern w:val="0"/>
          <w:sz w:val="36"/>
          <w:szCs w:val="36"/>
        </w:rPr>
        <w:t>兴安县部门开展项目事前绩效评估，</w:t>
      </w:r>
      <w:r>
        <w:rPr>
          <w:rFonts w:hint="eastAsia" w:ascii="仿宋" w:hAnsi="仿宋" w:eastAsia="仿宋" w:cs="仿宋"/>
          <w:color w:val="000000" w:themeColor="text1"/>
          <w:kern w:val="0"/>
          <w:sz w:val="36"/>
          <w:szCs w:val="36"/>
          <w14:textFill>
            <w14:solidFill>
              <w14:schemeClr w14:val="tx1"/>
            </w14:solidFill>
          </w14:textFill>
        </w:rPr>
        <w:t>共涉及</w:t>
      </w:r>
      <w:r>
        <w:rPr>
          <w:rFonts w:hint="eastAsia" w:ascii="仿宋" w:hAnsi="仿宋" w:eastAsia="仿宋" w:cs="仿宋"/>
          <w:color w:val="000000" w:themeColor="text1"/>
          <w:kern w:val="0"/>
          <w:sz w:val="36"/>
          <w:szCs w:val="36"/>
          <w:lang w:val="en-US" w:eastAsia="zh-CN"/>
          <w14:textFill>
            <w14:solidFill>
              <w14:schemeClr w14:val="tx1"/>
            </w14:solidFill>
          </w14:textFill>
        </w:rPr>
        <w:t>2</w:t>
      </w:r>
      <w:r>
        <w:rPr>
          <w:rFonts w:hint="eastAsia" w:ascii="仿宋" w:hAnsi="仿宋" w:eastAsia="仿宋" w:cs="仿宋"/>
          <w:color w:val="000000" w:themeColor="text1"/>
          <w:kern w:val="0"/>
          <w:sz w:val="36"/>
          <w:szCs w:val="36"/>
          <w14:textFill>
            <w14:solidFill>
              <w14:schemeClr w14:val="tx1"/>
            </w14:solidFill>
          </w14:textFill>
        </w:rPr>
        <w:t>个部门（单位）</w:t>
      </w:r>
      <w:r>
        <w:rPr>
          <w:rFonts w:hint="eastAsia" w:ascii="仿宋" w:hAnsi="仿宋" w:eastAsia="仿宋" w:cs="仿宋"/>
          <w:color w:val="000000" w:themeColor="text1"/>
          <w:kern w:val="0"/>
          <w:sz w:val="36"/>
          <w:szCs w:val="36"/>
          <w:lang w:val="en-US" w:eastAsia="zh-CN"/>
          <w14:textFill>
            <w14:solidFill>
              <w14:schemeClr w14:val="tx1"/>
            </w14:solidFill>
          </w14:textFill>
        </w:rPr>
        <w:t>2</w:t>
      </w:r>
      <w:r>
        <w:rPr>
          <w:rFonts w:hint="eastAsia" w:ascii="仿宋" w:hAnsi="仿宋" w:eastAsia="仿宋" w:cs="仿宋"/>
          <w:color w:val="000000" w:themeColor="text1"/>
          <w:kern w:val="0"/>
          <w:sz w:val="36"/>
          <w:szCs w:val="36"/>
          <w14:textFill>
            <w14:solidFill>
              <w14:schemeClr w14:val="tx1"/>
            </w14:solidFill>
          </w14:textFill>
        </w:rPr>
        <w:t>个项目，涉及金额</w:t>
      </w:r>
      <w:r>
        <w:rPr>
          <w:rFonts w:hint="eastAsia" w:ascii="仿宋" w:hAnsi="仿宋" w:eastAsia="仿宋" w:cs="仿宋"/>
          <w:color w:val="000000" w:themeColor="text1"/>
          <w:kern w:val="0"/>
          <w:sz w:val="36"/>
          <w:szCs w:val="36"/>
          <w:lang w:val="en-US" w:eastAsia="zh-CN"/>
          <w14:textFill>
            <w14:solidFill>
              <w14:schemeClr w14:val="tx1"/>
            </w14:solidFill>
          </w14:textFill>
        </w:rPr>
        <w:t>19019.10</w:t>
      </w:r>
      <w:r>
        <w:rPr>
          <w:rFonts w:hint="eastAsia" w:ascii="仿宋" w:hAnsi="仿宋" w:eastAsia="仿宋" w:cs="仿宋"/>
          <w:color w:val="000000" w:themeColor="text1"/>
          <w:kern w:val="0"/>
          <w:sz w:val="36"/>
          <w:szCs w:val="36"/>
          <w14:textFill>
            <w14:solidFill>
              <w14:schemeClr w14:val="tx1"/>
            </w14:solidFill>
          </w14:textFill>
        </w:rPr>
        <w:t>万元。对重点项目，委托中介机构开展事前绩效评估，共涉及</w:t>
      </w:r>
      <w:r>
        <w:rPr>
          <w:rFonts w:hint="eastAsia" w:ascii="仿宋" w:hAnsi="仿宋" w:eastAsia="仿宋" w:cs="仿宋"/>
          <w:color w:val="000000" w:themeColor="text1"/>
          <w:kern w:val="0"/>
          <w:sz w:val="36"/>
          <w:szCs w:val="36"/>
          <w:lang w:val="en-US" w:eastAsia="zh-CN"/>
          <w14:textFill>
            <w14:solidFill>
              <w14:schemeClr w14:val="tx1"/>
            </w14:solidFill>
          </w14:textFill>
        </w:rPr>
        <w:t>1</w:t>
      </w:r>
      <w:r>
        <w:rPr>
          <w:rFonts w:hint="eastAsia" w:ascii="仿宋" w:hAnsi="仿宋" w:eastAsia="仿宋" w:cs="仿宋"/>
          <w:color w:val="000000" w:themeColor="text1"/>
          <w:kern w:val="0"/>
          <w:sz w:val="36"/>
          <w:szCs w:val="36"/>
          <w14:textFill>
            <w14:solidFill>
              <w14:schemeClr w14:val="tx1"/>
            </w14:solidFill>
          </w14:textFill>
        </w:rPr>
        <w:t>项目，金额</w:t>
      </w:r>
      <w:r>
        <w:rPr>
          <w:rFonts w:hint="eastAsia" w:ascii="仿宋" w:hAnsi="仿宋" w:eastAsia="仿宋" w:cs="仿宋"/>
          <w:color w:val="000000" w:themeColor="text1"/>
          <w:kern w:val="0"/>
          <w:sz w:val="36"/>
          <w:szCs w:val="36"/>
          <w:lang w:val="en-US" w:eastAsia="zh-CN"/>
          <w14:textFill>
            <w14:solidFill>
              <w14:schemeClr w14:val="tx1"/>
            </w14:solidFill>
          </w14:textFill>
        </w:rPr>
        <w:t>18000.00</w:t>
      </w:r>
      <w:r>
        <w:rPr>
          <w:rFonts w:hint="eastAsia" w:ascii="仿宋" w:hAnsi="仿宋" w:eastAsia="仿宋" w:cs="仿宋"/>
          <w:color w:val="000000" w:themeColor="text1"/>
          <w:kern w:val="0"/>
          <w:sz w:val="36"/>
          <w:szCs w:val="36"/>
          <w14:textFill>
            <w14:solidFill>
              <w14:schemeClr w14:val="tx1"/>
            </w14:solidFill>
          </w14:textFill>
        </w:rPr>
        <w:t>万元</w:t>
      </w: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14:textFill>
            <w14:solidFill>
              <w14:schemeClr w14:val="tx1"/>
            </w14:solidFill>
          </w14:textFill>
        </w:rPr>
        <w:t>将评价结果作为预算安排的重要依据。</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w:t>
      </w:r>
      <w:r>
        <w:rPr>
          <w:rFonts w:hint="eastAsia" w:ascii="仿宋" w:hAnsi="仿宋" w:eastAsia="仿宋" w:cs="仿宋"/>
          <w:color w:val="000000"/>
          <w:kern w:val="0"/>
          <w:sz w:val="36"/>
          <w:szCs w:val="36"/>
          <w:lang w:val="en-US" w:eastAsia="zh-CN"/>
        </w:rPr>
        <w:t>了</w:t>
      </w:r>
      <w:r>
        <w:rPr>
          <w:rFonts w:hint="eastAsia" w:ascii="仿宋" w:hAnsi="仿宋" w:eastAsia="仿宋" w:cs="仿宋"/>
          <w:color w:val="000000"/>
          <w:kern w:val="0"/>
          <w:sz w:val="36"/>
          <w:szCs w:val="36"/>
        </w:rPr>
        <w:t>绩效监控管理</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我县于</w:t>
      </w:r>
      <w:r>
        <w:rPr>
          <w:rFonts w:hint="eastAsia" w:ascii="仿宋" w:hAnsi="仿宋" w:eastAsia="仿宋" w:cs="仿宋"/>
          <w:color w:val="000000"/>
          <w:kern w:val="0"/>
          <w:sz w:val="36"/>
          <w:szCs w:val="36"/>
          <w:lang w:val="en-US" w:eastAsia="zh-CN"/>
        </w:rPr>
        <w:t>2022年12</w:t>
      </w:r>
      <w:r>
        <w:rPr>
          <w:rFonts w:hint="eastAsia" w:ascii="仿宋" w:hAnsi="仿宋" w:eastAsia="仿宋" w:cs="仿宋"/>
          <w:color w:val="000000"/>
          <w:kern w:val="0"/>
          <w:sz w:val="36"/>
          <w:szCs w:val="36"/>
        </w:rPr>
        <w:t>月份完成了对202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年项目和部门整体的绩效目标实现程度和预算执行实施“双监控”，及时对偏离目标情况进行预警纠偏，对影响财政资金使用的主要指标进行了日常跟踪监控，加强财政资金监管，并将202</w:t>
      </w:r>
      <w:r>
        <w:rPr>
          <w:rFonts w:hint="eastAsia" w:ascii="仿宋" w:hAnsi="仿宋" w:eastAsia="仿宋" w:cs="仿宋"/>
          <w:color w:val="000000"/>
          <w:kern w:val="0"/>
          <w:sz w:val="36"/>
          <w:szCs w:val="36"/>
          <w:lang w:val="en-US" w:eastAsia="zh-CN"/>
        </w:rPr>
        <w:t>2</w:t>
      </w:r>
      <w:r>
        <w:rPr>
          <w:rFonts w:hint="eastAsia" w:ascii="仿宋" w:hAnsi="仿宋" w:eastAsia="仿宋" w:cs="仿宋"/>
          <w:color w:val="000000"/>
          <w:kern w:val="0"/>
          <w:sz w:val="36"/>
          <w:szCs w:val="36"/>
        </w:rPr>
        <w:t>年实施的全部项目纳入监控范围内，</w:t>
      </w:r>
      <w:r>
        <w:rPr>
          <w:rFonts w:hint="eastAsia" w:ascii="仿宋" w:hAnsi="仿宋" w:eastAsia="仿宋" w:cs="仿宋"/>
          <w:color w:val="auto"/>
          <w:kern w:val="0"/>
          <w:sz w:val="36"/>
          <w:szCs w:val="36"/>
        </w:rPr>
        <w:t>截至</w:t>
      </w:r>
      <w:r>
        <w:rPr>
          <w:rFonts w:hint="eastAsia" w:ascii="仿宋" w:hAnsi="仿宋" w:eastAsia="仿宋" w:cs="仿宋"/>
          <w:color w:val="auto"/>
          <w:kern w:val="0"/>
          <w:sz w:val="36"/>
          <w:szCs w:val="36"/>
          <w:lang w:val="en-US" w:eastAsia="zh-CN"/>
        </w:rPr>
        <w:t>12</w:t>
      </w:r>
      <w:r>
        <w:rPr>
          <w:rFonts w:hint="eastAsia" w:ascii="仿宋" w:hAnsi="仿宋" w:eastAsia="仿宋" w:cs="仿宋"/>
          <w:color w:val="auto"/>
          <w:kern w:val="0"/>
          <w:sz w:val="36"/>
          <w:szCs w:val="36"/>
        </w:rPr>
        <w:t>月，监控项目总数为</w:t>
      </w:r>
      <w:r>
        <w:rPr>
          <w:rFonts w:hint="eastAsia" w:ascii="仿宋" w:hAnsi="仿宋" w:eastAsia="仿宋" w:cs="仿宋"/>
          <w:color w:val="auto"/>
          <w:kern w:val="0"/>
          <w:sz w:val="36"/>
          <w:szCs w:val="36"/>
          <w:lang w:val="en-US" w:eastAsia="zh-CN"/>
        </w:rPr>
        <w:t>4570</w:t>
      </w:r>
      <w:r>
        <w:rPr>
          <w:rFonts w:hint="eastAsia" w:ascii="仿宋" w:hAnsi="仿宋" w:eastAsia="仿宋" w:cs="仿宋"/>
          <w:color w:val="auto"/>
          <w:kern w:val="0"/>
          <w:sz w:val="36"/>
          <w:szCs w:val="36"/>
        </w:rPr>
        <w:t>个</w:t>
      </w:r>
      <w:r>
        <w:rPr>
          <w:rFonts w:hint="eastAsia" w:ascii="仿宋" w:hAnsi="仿宋" w:eastAsia="仿宋" w:cs="仿宋"/>
          <w:color w:val="auto"/>
          <w:kern w:val="0"/>
          <w:sz w:val="36"/>
          <w:szCs w:val="36"/>
          <w:lang w:eastAsia="zh-CN"/>
        </w:rPr>
        <w:t>，</w:t>
      </w:r>
      <w:r>
        <w:rPr>
          <w:rFonts w:hint="eastAsia" w:ascii="仿宋" w:hAnsi="仿宋" w:eastAsia="仿宋" w:cs="仿宋"/>
          <w:color w:val="auto"/>
          <w:kern w:val="0"/>
          <w:sz w:val="36"/>
          <w:szCs w:val="36"/>
        </w:rPr>
        <w:t>涉及金额</w:t>
      </w:r>
      <w:r>
        <w:rPr>
          <w:rFonts w:hint="eastAsia" w:ascii="仿宋" w:hAnsi="仿宋" w:eastAsia="仿宋" w:cs="仿宋"/>
          <w:color w:val="auto"/>
          <w:kern w:val="0"/>
          <w:sz w:val="36"/>
          <w:szCs w:val="36"/>
          <w:lang w:val="en-US" w:eastAsia="zh-CN"/>
        </w:rPr>
        <w:t>3366324747元</w:t>
      </w:r>
      <w:r>
        <w:rPr>
          <w:rFonts w:hint="eastAsia" w:ascii="仿宋" w:hAnsi="仿宋" w:eastAsia="仿宋" w:cs="仿宋"/>
          <w:color w:val="auto"/>
          <w:kern w:val="0"/>
          <w:sz w:val="36"/>
          <w:szCs w:val="36"/>
        </w:rPr>
        <w:t>，执行金额为</w:t>
      </w:r>
      <w:r>
        <w:rPr>
          <w:rFonts w:hint="eastAsia" w:ascii="仿宋" w:hAnsi="仿宋" w:eastAsia="仿宋" w:cs="仿宋"/>
          <w:color w:val="auto"/>
          <w:kern w:val="0"/>
          <w:sz w:val="36"/>
          <w:szCs w:val="36"/>
          <w:lang w:val="en-US" w:eastAsia="zh-CN"/>
        </w:rPr>
        <w:t>2005403417</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59.57</w:t>
      </w:r>
      <w:r>
        <w:rPr>
          <w:rFonts w:hint="eastAsia" w:ascii="仿宋" w:hAnsi="仿宋" w:eastAsia="仿宋" w:cs="仿宋"/>
          <w:color w:val="auto"/>
          <w:kern w:val="0"/>
          <w:sz w:val="36"/>
          <w:szCs w:val="36"/>
        </w:rPr>
        <w:t>%；监控部门单位</w:t>
      </w:r>
      <w:r>
        <w:rPr>
          <w:rFonts w:hint="eastAsia" w:ascii="仿宋" w:hAnsi="仿宋" w:eastAsia="仿宋" w:cs="仿宋"/>
          <w:color w:val="auto"/>
          <w:kern w:val="0"/>
          <w:sz w:val="36"/>
          <w:szCs w:val="36"/>
          <w:lang w:val="en-US" w:eastAsia="zh-CN"/>
        </w:rPr>
        <w:t>81</w:t>
      </w:r>
      <w:r>
        <w:rPr>
          <w:rFonts w:hint="eastAsia" w:ascii="仿宋" w:hAnsi="仿宋" w:eastAsia="仿宋" w:cs="仿宋"/>
          <w:color w:val="auto"/>
          <w:kern w:val="0"/>
          <w:sz w:val="36"/>
          <w:szCs w:val="36"/>
        </w:rPr>
        <w:t>家涉及金额</w:t>
      </w:r>
      <w:r>
        <w:rPr>
          <w:rFonts w:hint="eastAsia" w:ascii="仿宋" w:hAnsi="仿宋" w:eastAsia="仿宋" w:cs="仿宋"/>
          <w:color w:val="auto"/>
          <w:kern w:val="0"/>
          <w:sz w:val="36"/>
          <w:szCs w:val="36"/>
          <w:lang w:val="en-US" w:eastAsia="zh-CN"/>
        </w:rPr>
        <w:t>4393935373</w:t>
      </w:r>
      <w:r>
        <w:rPr>
          <w:rFonts w:hint="eastAsia" w:ascii="仿宋" w:hAnsi="仿宋" w:eastAsia="仿宋" w:cs="仿宋"/>
          <w:color w:val="auto"/>
          <w:kern w:val="0"/>
          <w:sz w:val="36"/>
          <w:szCs w:val="36"/>
        </w:rPr>
        <w:t>元，执行金额为</w:t>
      </w:r>
      <w:r>
        <w:rPr>
          <w:rFonts w:hint="eastAsia" w:ascii="仿宋" w:hAnsi="仿宋" w:eastAsia="仿宋" w:cs="仿宋"/>
          <w:color w:val="auto"/>
          <w:kern w:val="0"/>
          <w:sz w:val="36"/>
          <w:szCs w:val="36"/>
          <w:lang w:val="en-US" w:eastAsia="zh-CN"/>
        </w:rPr>
        <w:t>2635963961</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59.99</w:t>
      </w:r>
      <w:r>
        <w:rPr>
          <w:rFonts w:hint="eastAsia" w:ascii="仿宋" w:hAnsi="仿宋" w:eastAsia="仿宋" w:cs="仿宋"/>
          <w:color w:val="auto"/>
          <w:kern w:val="0"/>
          <w:sz w:val="36"/>
          <w:szCs w:val="36"/>
        </w:rPr>
        <w:t>%。同时开展绩效监控回头看工作，扎实整改推进绩效整</w:t>
      </w:r>
      <w:r>
        <w:rPr>
          <w:rFonts w:hint="eastAsia" w:ascii="仿宋" w:hAnsi="仿宋" w:eastAsia="仿宋" w:cs="仿宋"/>
          <w:color w:val="000000"/>
          <w:kern w:val="0"/>
          <w:sz w:val="36"/>
          <w:szCs w:val="36"/>
        </w:rPr>
        <w:t>体工作的运行，坚持问题导向，汇总分析监控情况，发现了部分项目实施进度较慢、资金使用明显滞后等问题，并要求相关项目单位分析原因、及时整改。</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lang w:eastAsia="zh-CN"/>
        </w:rPr>
      </w:pPr>
      <w:r>
        <w:rPr>
          <w:rFonts w:hint="eastAsia" w:ascii="仿宋" w:hAnsi="仿宋" w:eastAsia="仿宋" w:cs="仿宋"/>
          <w:color w:val="000000"/>
          <w:kern w:val="0"/>
          <w:sz w:val="36"/>
          <w:szCs w:val="36"/>
        </w:rPr>
        <w:t>扩大绩效评价范围</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根据上级文件要求，我县扩大了预算绩效评价的范围，并积极围绕县委、县政府重大决策部署开展财政绩效评价。</w:t>
      </w:r>
      <w:r>
        <w:rPr>
          <w:rFonts w:hint="eastAsia" w:ascii="仿宋" w:hAnsi="仿宋" w:eastAsia="仿宋" w:cs="仿宋"/>
          <w:color w:val="000000"/>
          <w:kern w:val="0"/>
          <w:sz w:val="36"/>
          <w:szCs w:val="36"/>
          <w:lang w:val="en-US" w:eastAsia="zh-CN"/>
        </w:rPr>
        <w:t>2022年</w:t>
      </w:r>
      <w:r>
        <w:rPr>
          <w:rFonts w:hint="eastAsia" w:ascii="仿宋" w:hAnsi="仿宋" w:eastAsia="仿宋" w:cs="仿宋"/>
          <w:color w:val="000000"/>
          <w:kern w:val="0"/>
          <w:sz w:val="36"/>
          <w:szCs w:val="36"/>
        </w:rPr>
        <w:t>组织全县所有预算单位对202</w:t>
      </w:r>
      <w:r>
        <w:rPr>
          <w:rFonts w:hint="eastAsia" w:ascii="仿宋" w:hAnsi="仿宋" w:eastAsia="仿宋" w:cs="仿宋"/>
          <w:color w:val="000000"/>
          <w:kern w:val="0"/>
          <w:sz w:val="36"/>
          <w:szCs w:val="36"/>
          <w:lang w:val="en-US" w:eastAsia="zh-CN"/>
        </w:rPr>
        <w:t>1</w:t>
      </w:r>
      <w:r>
        <w:rPr>
          <w:rFonts w:hint="eastAsia" w:ascii="仿宋" w:hAnsi="仿宋" w:eastAsia="仿宋" w:cs="仿宋"/>
          <w:color w:val="000000"/>
          <w:kern w:val="0"/>
          <w:sz w:val="36"/>
          <w:szCs w:val="36"/>
        </w:rPr>
        <w:t>年全部项目及整体支出开展了项目自评</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自评</w:t>
      </w:r>
      <w:r>
        <w:rPr>
          <w:rFonts w:hint="eastAsia" w:ascii="仿宋" w:hAnsi="仿宋" w:eastAsia="仿宋" w:cs="仿宋"/>
          <w:color w:val="000000" w:themeColor="text1"/>
          <w:kern w:val="0"/>
          <w:sz w:val="36"/>
          <w:szCs w:val="36"/>
          <w14:textFill>
            <w14:solidFill>
              <w14:schemeClr w14:val="tx1"/>
            </w14:solidFill>
          </w14:textFill>
        </w:rPr>
        <w:t>项目总数为</w:t>
      </w:r>
      <w:r>
        <w:rPr>
          <w:rFonts w:hint="eastAsia" w:ascii="仿宋" w:hAnsi="仿宋" w:eastAsia="仿宋" w:cs="仿宋"/>
          <w:color w:val="000000" w:themeColor="text1"/>
          <w:kern w:val="0"/>
          <w:sz w:val="36"/>
          <w:szCs w:val="36"/>
          <w:lang w:val="en-US" w:eastAsia="zh-CN"/>
          <w14:textFill>
            <w14:solidFill>
              <w14:schemeClr w14:val="tx1"/>
            </w14:solidFill>
          </w14:textFill>
        </w:rPr>
        <w:t>4570</w:t>
      </w:r>
      <w:r>
        <w:rPr>
          <w:rFonts w:hint="eastAsia" w:ascii="仿宋" w:hAnsi="仿宋" w:eastAsia="仿宋" w:cs="仿宋"/>
          <w:color w:val="000000" w:themeColor="text1"/>
          <w:kern w:val="0"/>
          <w:sz w:val="36"/>
          <w:szCs w:val="36"/>
          <w14:textFill>
            <w14:solidFill>
              <w14:schemeClr w14:val="tx1"/>
            </w14:solidFill>
          </w14:textFill>
        </w:rPr>
        <w:t>个</w:t>
      </w: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14:textFill>
            <w14:solidFill>
              <w14:schemeClr w14:val="tx1"/>
            </w14:solidFill>
          </w14:textFill>
        </w:rPr>
        <w:t>涉及金额</w:t>
      </w:r>
      <w:r>
        <w:rPr>
          <w:rFonts w:hint="eastAsia" w:ascii="仿宋" w:hAnsi="仿宋" w:eastAsia="仿宋" w:cs="仿宋"/>
          <w:color w:val="000000" w:themeColor="text1"/>
          <w:kern w:val="0"/>
          <w:sz w:val="36"/>
          <w:szCs w:val="36"/>
          <w:lang w:val="en-US" w:eastAsia="zh-CN"/>
          <w14:textFill>
            <w14:solidFill>
              <w14:schemeClr w14:val="tx1"/>
            </w14:solidFill>
          </w14:textFill>
        </w:rPr>
        <w:t>3366324747元</w:t>
      </w:r>
      <w:r>
        <w:rPr>
          <w:rFonts w:hint="eastAsia" w:ascii="仿宋" w:hAnsi="仿宋" w:eastAsia="仿宋" w:cs="仿宋"/>
          <w:color w:val="000000" w:themeColor="text1"/>
          <w:kern w:val="0"/>
          <w:sz w:val="36"/>
          <w:szCs w:val="36"/>
          <w14:textFill>
            <w14:solidFill>
              <w14:schemeClr w14:val="tx1"/>
            </w14:solidFill>
          </w14:textFill>
        </w:rPr>
        <w:t>，执行金额为</w:t>
      </w:r>
      <w:r>
        <w:rPr>
          <w:rFonts w:hint="eastAsia" w:ascii="仿宋" w:hAnsi="仿宋" w:eastAsia="仿宋" w:cs="仿宋"/>
          <w:color w:val="000000" w:themeColor="text1"/>
          <w:kern w:val="0"/>
          <w:sz w:val="36"/>
          <w:szCs w:val="36"/>
          <w:lang w:val="en-US" w:eastAsia="zh-CN"/>
          <w14:textFill>
            <w14:solidFill>
              <w14:schemeClr w14:val="tx1"/>
            </w14:solidFill>
          </w14:textFill>
        </w:rPr>
        <w:t>2005403417</w:t>
      </w:r>
      <w:r>
        <w:rPr>
          <w:rFonts w:hint="eastAsia" w:ascii="仿宋" w:hAnsi="仿宋" w:eastAsia="仿宋" w:cs="仿宋"/>
          <w:color w:val="000000" w:themeColor="text1"/>
          <w:kern w:val="0"/>
          <w:sz w:val="36"/>
          <w:szCs w:val="36"/>
          <w14:textFill>
            <w14:solidFill>
              <w14:schemeClr w14:val="tx1"/>
            </w14:solidFill>
          </w14:textFill>
        </w:rPr>
        <w:t>元，执行率为</w:t>
      </w:r>
      <w:r>
        <w:rPr>
          <w:rFonts w:hint="eastAsia" w:ascii="仿宋" w:hAnsi="仿宋" w:eastAsia="仿宋" w:cs="仿宋"/>
          <w:color w:val="000000" w:themeColor="text1"/>
          <w:kern w:val="0"/>
          <w:sz w:val="36"/>
          <w:szCs w:val="36"/>
          <w:lang w:val="en-US" w:eastAsia="zh-CN"/>
          <w14:textFill>
            <w14:solidFill>
              <w14:schemeClr w14:val="tx1"/>
            </w14:solidFill>
          </w14:textFill>
        </w:rPr>
        <w:t>59.57</w:t>
      </w:r>
      <w:r>
        <w:rPr>
          <w:rFonts w:hint="eastAsia" w:ascii="仿宋" w:hAnsi="仿宋" w:eastAsia="仿宋" w:cs="仿宋"/>
          <w:color w:val="000000" w:themeColor="text1"/>
          <w:kern w:val="0"/>
          <w:sz w:val="36"/>
          <w:szCs w:val="36"/>
          <w14:textFill>
            <w14:solidFill>
              <w14:schemeClr w14:val="tx1"/>
            </w14:solidFill>
          </w14:textFill>
        </w:rPr>
        <w:t>%；部门自评</w:t>
      </w:r>
      <w:r>
        <w:rPr>
          <w:rFonts w:hint="eastAsia" w:ascii="仿宋" w:hAnsi="仿宋" w:eastAsia="仿宋" w:cs="仿宋"/>
          <w:color w:val="000000" w:themeColor="text1"/>
          <w:kern w:val="0"/>
          <w:sz w:val="36"/>
          <w:szCs w:val="36"/>
          <w:lang w:val="en-US" w:eastAsia="zh-CN"/>
          <w14:textFill>
            <w14:solidFill>
              <w14:schemeClr w14:val="tx1"/>
            </w14:solidFill>
          </w14:textFill>
        </w:rPr>
        <w:t>81个，</w:t>
      </w:r>
      <w:r>
        <w:rPr>
          <w:rFonts w:hint="eastAsia" w:ascii="仿宋" w:hAnsi="仿宋" w:eastAsia="仿宋" w:cs="仿宋"/>
          <w:color w:val="000000" w:themeColor="text1"/>
          <w:kern w:val="0"/>
          <w:sz w:val="36"/>
          <w:szCs w:val="36"/>
          <w14:textFill>
            <w14:solidFill>
              <w14:schemeClr w14:val="tx1"/>
            </w14:solidFill>
          </w14:textFill>
        </w:rPr>
        <w:t>涉及金额</w:t>
      </w:r>
      <w:r>
        <w:rPr>
          <w:rFonts w:hint="eastAsia" w:ascii="仿宋" w:hAnsi="仿宋" w:eastAsia="仿宋" w:cs="仿宋"/>
          <w:color w:val="000000" w:themeColor="text1"/>
          <w:kern w:val="0"/>
          <w:sz w:val="36"/>
          <w:szCs w:val="36"/>
          <w:lang w:val="en-US" w:eastAsia="zh-CN"/>
          <w14:textFill>
            <w14:solidFill>
              <w14:schemeClr w14:val="tx1"/>
            </w14:solidFill>
          </w14:textFill>
        </w:rPr>
        <w:t>4393935373</w:t>
      </w:r>
      <w:r>
        <w:rPr>
          <w:rFonts w:hint="eastAsia" w:ascii="仿宋" w:hAnsi="仿宋" w:eastAsia="仿宋" w:cs="仿宋"/>
          <w:color w:val="000000" w:themeColor="text1"/>
          <w:kern w:val="0"/>
          <w:sz w:val="36"/>
          <w:szCs w:val="36"/>
          <w14:textFill>
            <w14:solidFill>
              <w14:schemeClr w14:val="tx1"/>
            </w14:solidFill>
          </w14:textFill>
        </w:rPr>
        <w:t>元，执行金额为</w:t>
      </w:r>
      <w:r>
        <w:rPr>
          <w:rFonts w:hint="eastAsia" w:ascii="仿宋" w:hAnsi="仿宋" w:eastAsia="仿宋" w:cs="仿宋"/>
          <w:color w:val="000000" w:themeColor="text1"/>
          <w:kern w:val="0"/>
          <w:sz w:val="36"/>
          <w:szCs w:val="36"/>
          <w:lang w:val="en-US" w:eastAsia="zh-CN"/>
          <w14:textFill>
            <w14:solidFill>
              <w14:schemeClr w14:val="tx1"/>
            </w14:solidFill>
          </w14:textFill>
        </w:rPr>
        <w:t>2635963961</w:t>
      </w:r>
      <w:r>
        <w:rPr>
          <w:rFonts w:hint="eastAsia" w:ascii="仿宋" w:hAnsi="仿宋" w:eastAsia="仿宋" w:cs="仿宋"/>
          <w:color w:val="000000" w:themeColor="text1"/>
          <w:kern w:val="0"/>
          <w:sz w:val="36"/>
          <w:szCs w:val="36"/>
          <w14:textFill>
            <w14:solidFill>
              <w14:schemeClr w14:val="tx1"/>
            </w14:solidFill>
          </w14:textFill>
        </w:rPr>
        <w:t>元，执行率为</w:t>
      </w:r>
      <w:r>
        <w:rPr>
          <w:rFonts w:hint="eastAsia" w:ascii="仿宋" w:hAnsi="仿宋" w:eastAsia="仿宋" w:cs="仿宋"/>
          <w:color w:val="000000" w:themeColor="text1"/>
          <w:kern w:val="0"/>
          <w:sz w:val="36"/>
          <w:szCs w:val="36"/>
          <w:lang w:val="en-US" w:eastAsia="zh-CN"/>
          <w14:textFill>
            <w14:solidFill>
              <w14:schemeClr w14:val="tx1"/>
            </w14:solidFill>
          </w14:textFill>
        </w:rPr>
        <w:t>59.99</w:t>
      </w:r>
      <w:r>
        <w:rPr>
          <w:rFonts w:hint="eastAsia" w:ascii="仿宋" w:hAnsi="仿宋" w:eastAsia="仿宋" w:cs="仿宋"/>
          <w:color w:val="000000" w:themeColor="text1"/>
          <w:kern w:val="0"/>
          <w:sz w:val="36"/>
          <w:szCs w:val="36"/>
          <w14:textFill>
            <w14:solidFill>
              <w14:schemeClr w14:val="tx1"/>
            </w14:solidFill>
          </w14:textFill>
        </w:rPr>
        <w:t>%。对基础教育</w:t>
      </w: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14:textFill>
            <w14:solidFill>
              <w14:schemeClr w14:val="tx1"/>
            </w14:solidFill>
          </w14:textFill>
        </w:rPr>
        <w:t>惠民政策等群众关注度高的民生项目，我县积极邀请第三方机构对我县202</w:t>
      </w:r>
      <w:r>
        <w:rPr>
          <w:rFonts w:hint="eastAsia" w:ascii="仿宋" w:hAnsi="仿宋" w:eastAsia="仿宋" w:cs="仿宋"/>
          <w:color w:val="000000" w:themeColor="text1"/>
          <w:kern w:val="0"/>
          <w:sz w:val="36"/>
          <w:szCs w:val="36"/>
          <w:lang w:val="en-US" w:eastAsia="zh-CN"/>
          <w14:textFill>
            <w14:solidFill>
              <w14:schemeClr w14:val="tx1"/>
            </w14:solidFill>
          </w14:textFill>
        </w:rPr>
        <w:t>1</w:t>
      </w:r>
      <w:r>
        <w:rPr>
          <w:rFonts w:hint="eastAsia" w:ascii="仿宋" w:hAnsi="仿宋" w:eastAsia="仿宋" w:cs="仿宋"/>
          <w:color w:val="000000" w:themeColor="text1"/>
          <w:kern w:val="0"/>
          <w:sz w:val="36"/>
          <w:szCs w:val="36"/>
          <w14:textFill>
            <w14:solidFill>
              <w14:schemeClr w14:val="tx1"/>
            </w14:solidFill>
          </w14:textFill>
        </w:rPr>
        <w:t>年重点项目进行公平公正评价，此次财政评价共选择</w:t>
      </w:r>
      <w:r>
        <w:rPr>
          <w:rFonts w:hint="eastAsia" w:ascii="仿宋" w:hAnsi="仿宋" w:eastAsia="仿宋" w:cs="仿宋"/>
          <w:color w:val="000000" w:themeColor="text1"/>
          <w:kern w:val="0"/>
          <w:sz w:val="36"/>
          <w:szCs w:val="36"/>
          <w:lang w:val="en-US" w:eastAsia="zh-CN"/>
          <w14:textFill>
            <w14:solidFill>
              <w14:schemeClr w14:val="tx1"/>
            </w14:solidFill>
          </w14:textFill>
        </w:rPr>
        <w:t>30</w:t>
      </w:r>
      <w:r>
        <w:rPr>
          <w:rFonts w:hint="eastAsia" w:ascii="仿宋" w:hAnsi="仿宋" w:eastAsia="仿宋" w:cs="仿宋"/>
          <w:color w:val="000000" w:themeColor="text1"/>
          <w:kern w:val="0"/>
          <w:sz w:val="36"/>
          <w:szCs w:val="36"/>
          <w14:textFill>
            <w14:solidFill>
              <w14:schemeClr w14:val="tx1"/>
            </w14:solidFill>
          </w14:textFill>
        </w:rPr>
        <w:t>个大项目、涉及资金</w:t>
      </w:r>
      <w:r>
        <w:rPr>
          <w:rFonts w:hint="eastAsia" w:ascii="仿宋" w:hAnsi="仿宋" w:eastAsia="仿宋" w:cs="仿宋"/>
          <w:color w:val="000000" w:themeColor="text1"/>
          <w:kern w:val="0"/>
          <w:sz w:val="36"/>
          <w:szCs w:val="36"/>
          <w:lang w:val="en-US" w:eastAsia="zh-CN"/>
          <w14:textFill>
            <w14:solidFill>
              <w14:schemeClr w14:val="tx1"/>
            </w14:solidFill>
          </w14:textFill>
        </w:rPr>
        <w:t>32955.657325万</w:t>
      </w:r>
      <w:r>
        <w:rPr>
          <w:rFonts w:hint="eastAsia" w:ascii="仿宋" w:hAnsi="仿宋" w:eastAsia="仿宋" w:cs="仿宋"/>
          <w:color w:val="000000" w:themeColor="text1"/>
          <w:kern w:val="0"/>
          <w:sz w:val="36"/>
          <w:szCs w:val="36"/>
          <w14:textFill>
            <w14:solidFill>
              <w14:schemeClr w14:val="tx1"/>
            </w14:solidFill>
          </w14:textFill>
        </w:rPr>
        <w:t>元，包括了一般公共预算、政府性基金、上级转移支付、政府购买服务、专项债务、社保基金等项目。通过审核</w:t>
      </w:r>
      <w:r>
        <w:rPr>
          <w:rFonts w:hint="eastAsia" w:ascii="仿宋" w:hAnsi="仿宋" w:eastAsia="仿宋" w:cs="仿宋"/>
          <w:color w:val="000000"/>
          <w:kern w:val="0"/>
          <w:sz w:val="36"/>
          <w:szCs w:val="36"/>
        </w:rPr>
        <w:t>各项目材料的合规性、完整性、相关性、适当性、可行性以及项目总体绩效目标、各项绩效指标实际完成情况以及预算执行情况，分析评价每个项目在实施管理、资金使用管理中绩效目标实际完成情况以及存在的问题，并提出项目和资金管理改进措施和建议意见。</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lang w:eastAsia="zh-CN"/>
        </w:rPr>
      </w:pPr>
      <w:r>
        <w:rPr>
          <w:rFonts w:hint="eastAsia" w:ascii="仿宋" w:hAnsi="仿宋" w:eastAsia="仿宋" w:cs="仿宋"/>
          <w:color w:val="000000"/>
          <w:kern w:val="0"/>
          <w:sz w:val="36"/>
          <w:szCs w:val="36"/>
        </w:rPr>
        <w:t>绩效自评真实性稳步提升</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auto"/>
          <w:kern w:val="0"/>
          <w:sz w:val="36"/>
          <w:szCs w:val="36"/>
        </w:rPr>
      </w:pPr>
      <w:r>
        <w:rPr>
          <w:rFonts w:hint="eastAsia" w:ascii="仿宋" w:hAnsi="仿宋" w:eastAsia="仿宋" w:cs="仿宋"/>
          <w:color w:val="000000"/>
          <w:kern w:val="0"/>
          <w:sz w:val="36"/>
          <w:szCs w:val="36"/>
        </w:rPr>
        <w:t>通过查阅资料、实地考察、结合绩效目标与绩效指标设定的合理性等方式，开展项目自评规范性及真实性核查，由财政局各相关业务科室人员组成核查小组，</w:t>
      </w:r>
      <w:r>
        <w:rPr>
          <w:rFonts w:hint="eastAsia" w:ascii="仿宋" w:hAnsi="仿宋" w:eastAsia="仿宋" w:cs="仿宋"/>
          <w:color w:val="000000"/>
          <w:kern w:val="0"/>
          <w:sz w:val="36"/>
          <w:szCs w:val="36"/>
          <w:lang w:val="en-US" w:eastAsia="zh-CN"/>
        </w:rPr>
        <w:t>2022年</w:t>
      </w:r>
      <w:r>
        <w:rPr>
          <w:rFonts w:hint="eastAsia" w:ascii="仿宋" w:hAnsi="仿宋" w:eastAsia="仿宋" w:cs="仿宋"/>
          <w:color w:val="auto"/>
          <w:kern w:val="0"/>
          <w:sz w:val="36"/>
          <w:szCs w:val="36"/>
        </w:rPr>
        <w:t>抽取202</w:t>
      </w:r>
      <w:r>
        <w:rPr>
          <w:rFonts w:hint="eastAsia" w:ascii="仿宋" w:hAnsi="仿宋" w:eastAsia="仿宋" w:cs="仿宋"/>
          <w:color w:val="auto"/>
          <w:kern w:val="0"/>
          <w:sz w:val="36"/>
          <w:szCs w:val="36"/>
          <w:lang w:val="en-US" w:eastAsia="zh-CN"/>
        </w:rPr>
        <w:t>1</w:t>
      </w:r>
      <w:r>
        <w:rPr>
          <w:rFonts w:hint="eastAsia" w:ascii="仿宋" w:hAnsi="仿宋" w:eastAsia="仿宋" w:cs="仿宋"/>
          <w:color w:val="auto"/>
          <w:kern w:val="0"/>
          <w:sz w:val="36"/>
          <w:szCs w:val="36"/>
        </w:rPr>
        <w:t>年</w:t>
      </w:r>
      <w:r>
        <w:rPr>
          <w:rFonts w:hint="eastAsia" w:ascii="仿宋" w:hAnsi="仿宋" w:eastAsia="仿宋" w:cs="仿宋"/>
          <w:color w:val="auto"/>
          <w:kern w:val="0"/>
          <w:sz w:val="36"/>
          <w:szCs w:val="36"/>
          <w:lang w:val="en-US" w:eastAsia="zh-CN"/>
        </w:rPr>
        <w:t>3</w:t>
      </w:r>
      <w:r>
        <w:rPr>
          <w:rFonts w:hint="eastAsia" w:ascii="仿宋" w:hAnsi="仿宋" w:eastAsia="仿宋" w:cs="仿宋"/>
          <w:color w:val="auto"/>
          <w:kern w:val="0"/>
          <w:sz w:val="36"/>
          <w:szCs w:val="36"/>
        </w:rPr>
        <w:t>个重点项目进行项目真实性检查工作，</w:t>
      </w:r>
      <w:bookmarkStart w:id="0" w:name="_GoBack"/>
      <w:bookmarkEnd w:id="0"/>
      <w:r>
        <w:rPr>
          <w:rFonts w:hint="eastAsia" w:ascii="仿宋" w:hAnsi="仿宋" w:eastAsia="仿宋" w:cs="仿宋"/>
          <w:color w:val="auto"/>
          <w:kern w:val="0"/>
          <w:sz w:val="36"/>
          <w:szCs w:val="36"/>
        </w:rPr>
        <w:t>核查资金达</w:t>
      </w:r>
      <w:r>
        <w:rPr>
          <w:rFonts w:hint="eastAsia" w:ascii="仿宋" w:hAnsi="仿宋" w:eastAsia="仿宋" w:cs="仿宋"/>
          <w:color w:val="auto"/>
          <w:kern w:val="0"/>
          <w:sz w:val="36"/>
          <w:szCs w:val="36"/>
          <w:lang w:val="en-US" w:eastAsia="zh-CN"/>
        </w:rPr>
        <w:t>11503.35</w:t>
      </w:r>
      <w:r>
        <w:rPr>
          <w:rFonts w:hint="eastAsia" w:ascii="仿宋" w:hAnsi="仿宋" w:eastAsia="仿宋" w:cs="仿宋"/>
          <w:color w:val="auto"/>
          <w:kern w:val="0"/>
          <w:sz w:val="36"/>
          <w:szCs w:val="36"/>
        </w:rPr>
        <w:t>万元，所抽取的项目核心指标基本属实。</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default" w:ascii="仿宋" w:hAnsi="仿宋" w:eastAsia="仿宋" w:cs="仿宋"/>
          <w:color w:val="000000" w:themeColor="text1"/>
          <w:kern w:val="0"/>
          <w:sz w:val="36"/>
          <w:szCs w:val="36"/>
          <w:lang w:val="en-US" w:eastAsia="zh-CN"/>
          <w14:textFill>
            <w14:solidFill>
              <w14:schemeClr w14:val="tx1"/>
            </w14:solidFill>
          </w14:textFill>
        </w:rPr>
      </w:pP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lang w:val="en-US" w:eastAsia="zh-CN"/>
          <w14:textFill>
            <w14:solidFill>
              <w14:schemeClr w14:val="tx1"/>
            </w14:solidFill>
          </w14:textFill>
        </w:rPr>
        <w:t>六）全面实现绩效评价结果应用。一是重要绩效目标、绩效自评结果随部门预决算公开。二是在公开政府预决算时对预算绩效工作开展情况进行了解释说明。三是及时将绩效目标及绩效评价结果报送县人大审查。四是建立了绩效评价结果与预算安排、政策调整、管理完善机制。</w:t>
      </w:r>
    </w:p>
    <w:p>
      <w:pPr>
        <w:widowControl/>
        <w:numPr>
          <w:ilvl w:val="0"/>
          <w:numId w:val="1"/>
        </w:numPr>
        <w:pBdr>
          <w:bottom w:val="dashed" w:color="EBEBEB" w:sz="6" w:space="23"/>
        </w:pBdr>
        <w:shd w:val="clear" w:color="auto" w:fill="FFFFFF"/>
        <w:spacing w:line="360" w:lineRule="auto"/>
        <w:ind w:left="0" w:leftChars="0" w:firstLine="722" w:firstLineChars="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存在的主要问题</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我县预算绩效管理工作虽然取得了一定的进展，但距离上级财政部门的要求以及本县的现实需求仍有很大差距，多个方面都存在着不足之处需要完善。</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一是评价指标体系需要完善。财政支出评价对象涉及行业多、项目之间差异性较大，目前虽然上级财政部门已经发布了共性指标但真正体现到项目效果的个性指标，由于设置难度较大，还不能全方位落实到目前的工作开展。</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二是预算单位对绩效管理工作重视程度不够，思想认识尚不到位。部分部门对绩效评价不了解，对绩效管理的意义认识不清，尤其是对“效”的理解不够，还停留在是否按计划完成任务上，而没有将工作重点放在效益和效果方面。</w:t>
      </w:r>
    </w:p>
    <w:p>
      <w:pPr>
        <w:widowControl/>
        <w:numPr>
          <w:ilvl w:val="0"/>
          <w:numId w:val="0"/>
        </w:numPr>
        <w:pBdr>
          <w:bottom w:val="dashed" w:color="EBEBEB" w:sz="6" w:space="23"/>
        </w:pBdr>
        <w:shd w:val="clear" w:color="auto" w:fill="FFFFFF"/>
        <w:spacing w:line="360" w:lineRule="auto"/>
        <w:ind w:firstLine="720" w:firstLineChars="200"/>
        <w:jc w:val="center"/>
        <w:outlineLvl w:val="0"/>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rPr>
        <w:t>三是绩效评价佐证材料存在薄弱环节。佐证材料不齐，绩效评价报告简单化，绩效目标设置目标指向性不够明确，细化量化不够，缺乏深度和行业特点。</w:t>
      </w:r>
      <w:r>
        <w:rPr>
          <w:rFonts w:hint="eastAsia" w:ascii="仿宋" w:hAnsi="仿宋" w:eastAsia="仿宋" w:cs="仿宋"/>
          <w:color w:val="000000"/>
          <w:kern w:val="0"/>
          <w:sz w:val="36"/>
          <w:szCs w:val="36"/>
          <w:lang w:val="en-US" w:eastAsia="zh-CN"/>
        </w:rPr>
        <w:t xml:space="preserve"> </w:t>
      </w:r>
    </w:p>
    <w:p>
      <w:pPr>
        <w:widowControl/>
        <w:numPr>
          <w:ilvl w:val="0"/>
          <w:numId w:val="1"/>
        </w:numPr>
        <w:pBdr>
          <w:bottom w:val="dashed" w:color="EBEBEB" w:sz="6" w:space="23"/>
        </w:pBdr>
        <w:shd w:val="clear" w:color="auto" w:fill="FFFFFF"/>
        <w:spacing w:line="360" w:lineRule="auto"/>
        <w:ind w:left="0" w:leftChars="0" w:firstLine="722" w:firstLineChars="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下一步工作计划</w:t>
      </w:r>
    </w:p>
    <w:p>
      <w:pPr>
        <w:widowControl/>
        <w:numPr>
          <w:ilvl w:val="0"/>
          <w:numId w:val="3"/>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健全绩效管理制度体系</w:t>
      </w:r>
    </w:p>
    <w:p>
      <w:pPr>
        <w:widowControl/>
        <w:numPr>
          <w:ilvl w:val="0"/>
          <w:numId w:val="0"/>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预算绩效管理制度体系，力求将预算绩效管理工作变成一项指令性、经常性、制度性的工作；建立以绩效结果为导向，以制度建设为保障，以财政部门为监管主体、预算部门为责任主体预算绩效管理制度体系。确保绩效管理贯穿重大政策落实、重大项目实施，深度嵌入预算管理的全过程。</w:t>
      </w:r>
    </w:p>
    <w:p>
      <w:pPr>
        <w:widowControl/>
        <w:numPr>
          <w:ilvl w:val="0"/>
          <w:numId w:val="3"/>
        </w:numPr>
        <w:pBdr>
          <w:bottom w:val="dashed" w:color="EBEBEB" w:sz="6" w:space="23"/>
        </w:pBdr>
        <w:shd w:val="clear" w:color="auto" w:fill="FFFFFF"/>
        <w:spacing w:line="360" w:lineRule="auto"/>
        <w:ind w:left="0" w:leftChars="0"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完善绩效目标及评价体系</w:t>
      </w:r>
    </w:p>
    <w:p>
      <w:pPr>
        <w:widowControl/>
        <w:numPr>
          <w:ilvl w:val="0"/>
          <w:numId w:val="0"/>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进一步科学合理设置绩效目标，完善评价指标体系，逐步提高评价工作质量。运用科学、合理的绩效评价指标、评价标准和评价方法，对财政支出的经济性、效率性和效益性进行客观、公正的评价。通过政府网等媒体向社会公开评价的结果，以提高财政资金使用的公开性和透明性，搭建社会公众参与绩效管理的途径和平台，接受社会和公众的监督。</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（三）深入开展预算绩效管理宣传和培训</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在传统预算管理中引入预算绩效管理，从重资金投入管理转向重预算编制、执行监督全过程绩效。通过开展多种形式的预算绩效管理专题培训，灌输预算绩效管理理念和意识，为开展预算绩效管理工作奠定坚实基础。注重政策培训、绩效系统培训，特别是基层单位业务骨干的培训，树立“使用资金必问效、无效必追责”的绩效理念，养成良好的绩效工作习惯。</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（四）有效利用评价结果运用</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一是通报评价结果。加大绩效评价结果应用力度，强化资金管理责任主体绩效意识。将评价结果向各预算单位和项目实施单位通报，并将评价结果向社会公开。二是组织单位进行整改。对重点评价中提出的问题及建议，将制订方案组织相关单位进行逐一整改，努力提高财政资金的使用效益。三是强化结果应用。将评价结果作为年度预算编制的参考依据，对部分组织管理不力、项目效益欠佳、违规使用资金的项目，相应调减或取消该类项目年度预算安排。</w:t>
      </w: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兴安县财政局</w:t>
      </w:r>
    </w:p>
    <w:p>
      <w:pPr>
        <w:widowControl/>
        <w:shd w:val="clear" w:color="auto" w:fill="FFFFFF"/>
        <w:spacing w:line="360" w:lineRule="auto"/>
        <w:ind w:firstLine="4680" w:firstLineChars="1300"/>
        <w:jc w:val="left"/>
        <w:rPr>
          <w:rFonts w:hint="default"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2023年5月20日</w:t>
      </w:r>
    </w:p>
    <w:p>
      <w:pPr>
        <w:spacing w:line="360" w:lineRule="auto"/>
        <w:rPr>
          <w:rFonts w:hint="eastAsia" w:ascii="仿宋" w:hAnsi="仿宋" w:eastAsia="仿宋" w:cs="仿宋"/>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0E092"/>
    <w:multiLevelType w:val="singleLevel"/>
    <w:tmpl w:val="8250E092"/>
    <w:lvl w:ilvl="0" w:tentative="0">
      <w:start w:val="1"/>
      <w:numFmt w:val="chineseCounting"/>
      <w:suff w:val="nothing"/>
      <w:lvlText w:val="（%1）"/>
      <w:lvlJc w:val="left"/>
      <w:rPr>
        <w:rFonts w:hint="eastAsia"/>
      </w:rPr>
    </w:lvl>
  </w:abstractNum>
  <w:abstractNum w:abstractNumId="1">
    <w:nsid w:val="C59048FF"/>
    <w:multiLevelType w:val="singleLevel"/>
    <w:tmpl w:val="C59048FF"/>
    <w:lvl w:ilvl="0" w:tentative="0">
      <w:start w:val="1"/>
      <w:numFmt w:val="chineseCounting"/>
      <w:suff w:val="nothing"/>
      <w:lvlText w:val="（%1）"/>
      <w:lvlJc w:val="left"/>
      <w:rPr>
        <w:rFonts w:hint="eastAsia"/>
      </w:rPr>
    </w:lvl>
  </w:abstractNum>
  <w:abstractNum w:abstractNumId="2">
    <w:nsid w:val="704FAE31"/>
    <w:multiLevelType w:val="singleLevel"/>
    <w:tmpl w:val="704FAE3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jk3MGQzZjlmODAzMmY2ODBhZTQ0MWI5ZDlmZTQifQ=="/>
  </w:docVars>
  <w:rsids>
    <w:rsidRoot w:val="00495FE4"/>
    <w:rsid w:val="000022C5"/>
    <w:rsid w:val="003C33B2"/>
    <w:rsid w:val="00495FE4"/>
    <w:rsid w:val="00AC3641"/>
    <w:rsid w:val="015D2A18"/>
    <w:rsid w:val="018D1F89"/>
    <w:rsid w:val="07904761"/>
    <w:rsid w:val="0A914F3B"/>
    <w:rsid w:val="119A0292"/>
    <w:rsid w:val="12D614A6"/>
    <w:rsid w:val="164C0044"/>
    <w:rsid w:val="18C630AB"/>
    <w:rsid w:val="1AED26B6"/>
    <w:rsid w:val="1B980A3C"/>
    <w:rsid w:val="1FA76D82"/>
    <w:rsid w:val="22247129"/>
    <w:rsid w:val="2B410887"/>
    <w:rsid w:val="39070FD4"/>
    <w:rsid w:val="42426EA3"/>
    <w:rsid w:val="42943B07"/>
    <w:rsid w:val="46815A1F"/>
    <w:rsid w:val="48744007"/>
    <w:rsid w:val="49D43C06"/>
    <w:rsid w:val="5B76204D"/>
    <w:rsid w:val="64B049BB"/>
    <w:rsid w:val="704E5C0E"/>
    <w:rsid w:val="74713436"/>
    <w:rsid w:val="74F62DF5"/>
    <w:rsid w:val="74F94E92"/>
    <w:rsid w:val="75DC2B12"/>
    <w:rsid w:val="7C4A67DB"/>
    <w:rsid w:val="7CD1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print"/>
    <w:basedOn w:val="8"/>
    <w:qFormat/>
    <w:uiPriority w:val="0"/>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3097</Words>
  <Characters>3291</Characters>
  <Lines>20</Lines>
  <Paragraphs>5</Paragraphs>
  <TotalTime>3</TotalTime>
  <ScaleCrop>false</ScaleCrop>
  <LinksUpToDate>false</LinksUpToDate>
  <CharactersWithSpaces>3293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2023-05-02T02:42:00Z</dcterms:created>
  <dc:creator>THTF</dc:creator>
  <cp:lastModifiedBy>WPS_1680660907</cp:lastModifiedBy>
  <dcterms:modified xsi:type="dcterms:W3CDTF">2023-06-04T16:48:07Z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7DD1D17B6C9E4C2490DE8DE07E45D730_13</vt:lpwstr>
  </property>
</Properties>
</file>