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firstLine="640" w:firstLineChars="200"/>
        <w:rPr>
          <w:rFonts w:hint="eastAsia" w:ascii="仿宋_GB2312" w:eastAsia="仿宋_GB2312"/>
          <w:color w:val="auto"/>
        </w:rPr>
      </w:pPr>
    </w:p>
    <w:p>
      <w:pPr>
        <w:spacing w:after="0" w:line="240" w:lineRule="auto"/>
        <w:ind w:firstLine="880" w:firstLineChars="200"/>
        <w:jc w:val="center"/>
        <w:rPr>
          <w:rFonts w:ascii="方正小标宋_GBK" w:eastAsia="方正小标宋_GBK"/>
          <w:color w:val="auto"/>
          <w:sz w:val="44"/>
        </w:rPr>
      </w:pPr>
      <w:r>
        <w:rPr>
          <w:rFonts w:ascii="方正小标宋_GBK" w:hAnsi="Times New Roman" w:eastAsia="方正小标宋_GBK" w:cs="Times New Roman"/>
          <w:color w:val="auto"/>
          <w:sz w:val="44"/>
        </w:rPr>
        <w:t>202</w:t>
      </w:r>
      <w:r>
        <w:rPr>
          <w:rFonts w:hint="eastAsia" w:ascii="方正小标宋_GBK" w:hAnsi="Times New Roman" w:eastAsia="方正小标宋_GBK" w:cs="Times New Roman"/>
          <w:color w:val="auto"/>
          <w:sz w:val="44"/>
          <w:lang w:val="en-US" w:eastAsia="zh-CN"/>
        </w:rPr>
        <w:t>1</w:t>
      </w:r>
      <w:r>
        <w:rPr>
          <w:rFonts w:hint="eastAsia" w:ascii="方正小标宋_GBK" w:hAnsi="Times New Roman" w:eastAsia="方正小标宋_GBK" w:cs="Times New Roman"/>
          <w:color w:val="auto"/>
          <w:sz w:val="44"/>
        </w:rPr>
        <w:t xml:space="preserve"> </w:t>
      </w:r>
      <w:r>
        <w:rPr>
          <w:rFonts w:hint="eastAsia" w:ascii="方正小标宋_GBK" w:eastAsia="方正小标宋_GBK"/>
          <w:color w:val="auto"/>
          <w:sz w:val="44"/>
        </w:rPr>
        <w:t>年兴安县财政决算报告</w:t>
      </w:r>
    </w:p>
    <w:p>
      <w:pPr>
        <w:spacing w:after="0" w:line="240" w:lineRule="auto"/>
        <w:ind w:firstLine="880" w:firstLineChars="200"/>
        <w:jc w:val="center"/>
        <w:rPr>
          <w:rFonts w:ascii="方正小标宋_GBK" w:eastAsia="方正小标宋_GBK"/>
          <w:color w:val="auto"/>
        </w:rPr>
      </w:pPr>
      <w:r>
        <w:rPr>
          <w:rFonts w:hint="eastAsia" w:ascii="方正小标宋_GBK" w:eastAsia="方正小标宋_GBK"/>
          <w:color w:val="auto"/>
          <w:sz w:val="44"/>
        </w:rPr>
        <w:t>有关专业名词解释</w:t>
      </w:r>
    </w:p>
    <w:p>
      <w:pPr>
        <w:spacing w:after="0" w:line="259" w:lineRule="auto"/>
        <w:ind w:firstLine="640" w:firstLineChars="200"/>
        <w:rPr>
          <w:rFonts w:ascii="仿宋_GB2312" w:eastAsia="仿宋_GB2312"/>
          <w:color w:val="auto"/>
        </w:rPr>
      </w:pP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  <w:r>
        <w:rPr>
          <w:rFonts w:hint="eastAsia" w:ascii="仿宋_GB2312" w:eastAsia="仿宋_GB2312"/>
          <w:color w:val="auto"/>
        </w:rPr>
        <w:t xml:space="preserve"> </w:t>
      </w:r>
    </w:p>
    <w:p>
      <w:pPr>
        <w:spacing w:after="0" w:line="259" w:lineRule="auto"/>
        <w:ind w:firstLine="643" w:firstLineChars="200"/>
        <w:rPr>
          <w:rFonts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一、财政收入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（一）组织财政收入</w:t>
      </w:r>
      <w:r>
        <w:rPr>
          <w:rFonts w:hint="eastAsia" w:ascii="仿宋_GB2312" w:eastAsia="仿宋_GB2312"/>
          <w:color w:val="auto"/>
        </w:rPr>
        <w:t>是指决算年度内由税局和财政等收入征收机构组织的上划中央收入、上划自治区收入和地方一般预算收入的总和。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（二）一般公共预算总收入</w:t>
      </w:r>
      <w:r>
        <w:rPr>
          <w:rFonts w:hint="eastAsia" w:ascii="仿宋_GB2312" w:eastAsia="仿宋_GB2312"/>
          <w:color w:val="auto"/>
        </w:rPr>
        <w:t>是指决算年度内可用于安排各项支出的所有收入，包括当年实现的一般公共预算收入、税收返还、转移支付、下级上解收入、调入资金以及上年结转到本年使用的专款和结余等。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(三)地方一般公共预算收入</w:t>
      </w:r>
      <w:r>
        <w:rPr>
          <w:rFonts w:hint="eastAsia" w:ascii="仿宋_GB2312" w:eastAsia="仿宋_GB2312"/>
          <w:color w:val="auto"/>
        </w:rPr>
        <w:t>是指按照现行分税制财政体制规定，由税局和财政等收入征收机构组织的缴入本级金库的收入。包括增值税、营业税、企业所得税和个人所得税的本级分享部分，各项地方税收、非税收入和其他收入。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（四）上划中央收入</w:t>
      </w:r>
      <w:r>
        <w:rPr>
          <w:rFonts w:hint="eastAsia" w:ascii="仿宋_GB2312" w:eastAsia="仿宋_GB2312"/>
          <w:color w:val="auto"/>
        </w:rPr>
        <w:t xml:space="preserve">是指按照现行分税制财政体制规定，缴入中央级金库的增值税、改征增值税、企业所得税、个人所得税中央分享部分和消费税的 </w:t>
      </w:r>
      <w:r>
        <w:rPr>
          <w:rFonts w:hint="eastAsia" w:ascii="仿宋_GB2312" w:hAnsi="Times New Roman" w:eastAsia="仿宋_GB2312" w:cs="Times New Roman"/>
          <w:color w:val="auto"/>
        </w:rPr>
        <w:t>100%</w:t>
      </w:r>
      <w:r>
        <w:rPr>
          <w:rFonts w:hint="eastAsia" w:ascii="仿宋_GB2312" w:eastAsia="仿宋_GB2312"/>
          <w:color w:val="auto"/>
        </w:rPr>
        <w:t>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（五）上划自治区收入</w:t>
      </w:r>
      <w:r>
        <w:rPr>
          <w:rFonts w:hint="eastAsia" w:ascii="仿宋_GB2312" w:eastAsia="仿宋_GB2312"/>
          <w:color w:val="auto"/>
        </w:rPr>
        <w:t>是指按照现行分税制财政体制规定，缴入自治区级金库的增值税、改征增值税、企业所得税、个人所得税等税种自治区分享部分。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40" w:leftChars="200" w:firstLine="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    （六）上级补助收入</w:t>
      </w:r>
      <w:r>
        <w:rPr>
          <w:rFonts w:hint="eastAsia" w:ascii="仿宋_GB2312" w:eastAsia="仿宋_GB2312"/>
          <w:color w:val="auto"/>
        </w:rPr>
        <w:t>主要包括：税收返还收入、一般性转移支付收入、专项转移支付收入等。</w:t>
      </w:r>
      <w:r>
        <w:rPr>
          <w:rFonts w:hint="eastAsia" w:ascii="仿宋_GB2312" w:hAnsi="Times New Roman" w:eastAsia="仿宋_GB2312" w:cs="Times New Roman"/>
          <w:b/>
          <w:color w:val="auto"/>
        </w:rPr>
        <w:t xml:space="preserve"> </w:t>
      </w:r>
    </w:p>
    <w:p>
      <w:pPr>
        <w:pStyle w:val="2"/>
        <w:spacing w:after="0"/>
        <w:rPr>
          <w:rFonts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二、财政支出 </w:t>
      </w:r>
    </w:p>
    <w:p>
      <w:pPr>
        <w:spacing w:after="0" w:line="351" w:lineRule="auto"/>
        <w:ind w:right="24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（一）一般公共预算总支出</w:t>
      </w:r>
      <w:r>
        <w:rPr>
          <w:rFonts w:hint="eastAsia" w:ascii="仿宋_GB2312" w:eastAsia="仿宋_GB2312"/>
          <w:color w:val="auto"/>
        </w:rPr>
        <w:t>是指决算年度内，用财政总收入安排的所有支出，包括当年一般公共预算支出、上解上级支出、返还性支出、一般性转移支付支出、专项转移支付支出和调出资金等。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right="24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（二）地方一般公共预算支出</w:t>
      </w:r>
      <w:r>
        <w:rPr>
          <w:rFonts w:hint="eastAsia" w:ascii="仿宋_GB2312" w:eastAsia="仿宋_GB2312"/>
          <w:color w:val="auto"/>
        </w:rPr>
        <w:t>是指决算年度内，用本级财政总收入安排的用于本级的支出。</w:t>
      </w:r>
      <w:r>
        <w:rPr>
          <w:rFonts w:hint="eastAsia" w:ascii="仿宋_GB2312" w:hAnsi="Times New Roman" w:eastAsia="仿宋_GB2312" w:cs="Times New Roman"/>
          <w:color w:val="auto"/>
        </w:rPr>
        <w:t>20</w:t>
      </w:r>
      <w:r>
        <w:rPr>
          <w:rFonts w:hint="eastAsia" w:ascii="仿宋_GB2312" w:hAnsi="Times New Roman" w:eastAsia="仿宋_GB2312" w:cs="Times New Roman"/>
          <w:color w:val="auto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  <w:r>
        <w:rPr>
          <w:rFonts w:hint="eastAsia" w:ascii="仿宋_GB2312" w:eastAsia="仿宋_GB2312"/>
          <w:color w:val="auto"/>
        </w:rPr>
        <w:t>年政府收支分类中一般公共预算支出主要包括一般公共服务支出、外交支出、国防支出、公共安全支出、教育支出、科学技术支出、文化旅游体育与传媒支出、社会保障和就业支出、卫生健康支出、节能环保支出、城乡社区支出、农林水支出、交通运输支出、资源勘探信息等支出、商业服务业等支出、金融支出、援助其他地区支出、自然资源海洋气象等支出、住房保障支出、粮油物资储备支出、灾害防治及应急管理支出、预备费、其他支出、债务付息支出、债务发行费用支出。</w:t>
      </w:r>
      <w:r>
        <w:rPr>
          <w:rFonts w:hint="eastAsia" w:ascii="仿宋_GB2312" w:hAnsi="Times New Roman" w:eastAsia="仿宋_GB2312" w:cs="Times New Roman"/>
          <w:color w:val="auto"/>
        </w:rPr>
        <w:t xml:space="preserve">  </w:t>
      </w:r>
    </w:p>
    <w:p>
      <w:pPr>
        <w:pStyle w:val="2"/>
        <w:spacing w:after="0"/>
        <w:rPr>
          <w:rFonts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三、财政预算 </w:t>
      </w:r>
    </w:p>
    <w:p>
      <w:pPr>
        <w:spacing w:after="0"/>
        <w:ind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（一）专项转移支付</w:t>
      </w:r>
      <w:r>
        <w:rPr>
          <w:rFonts w:hint="eastAsia" w:ascii="仿宋_GB2312" w:eastAsia="仿宋_GB2312"/>
          <w:color w:val="auto"/>
        </w:rPr>
        <w:t>是指在年度预算执行过程中，由上级财政指定项目和资金数额的补助。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 w:line="259" w:lineRule="auto"/>
        <w:ind w:firstLine="643" w:firstLineChars="200"/>
        <w:rPr>
          <w:rFonts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（二）年终结余与专项结转、净结余</w:t>
      </w:r>
      <w:r>
        <w:rPr>
          <w:rFonts w:hint="eastAsia" w:ascii="仿宋_GB2312" w:hAnsi="Times New Roman" w:eastAsia="仿宋_GB2312" w:cs="Times New Roman"/>
          <w:b/>
          <w:bCs/>
          <w:color w:val="auto"/>
        </w:rPr>
        <w:t xml:space="preserve"> </w:t>
      </w:r>
    </w:p>
    <w:p>
      <w:pPr>
        <w:spacing w:after="0"/>
        <w:ind w:left="-15" w:firstLine="640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年终结余是指总收入与总支出的差额；专项结转是指由于各种原因（如资金下达的时间过晚，项目进度过慢等）当年没有拨出资金，在第二年年初预算中继续安排的支出项目；净结余是年终结余扣除专项结转的余额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sectPr>
      <w:footerReference r:id="rId3" w:type="default"/>
      <w:pgSz w:w="11906" w:h="16841"/>
      <w:pgMar w:top="855" w:right="1372" w:bottom="946" w:left="153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7A"/>
    <w:rsid w:val="0017027A"/>
    <w:rsid w:val="001B7F92"/>
    <w:rsid w:val="003F17FF"/>
    <w:rsid w:val="00667C8B"/>
    <w:rsid w:val="00796294"/>
    <w:rsid w:val="00E06197"/>
    <w:rsid w:val="0A4002D9"/>
    <w:rsid w:val="2D5F54AD"/>
    <w:rsid w:val="528A050C"/>
    <w:rsid w:val="53C75F5F"/>
    <w:rsid w:val="571669D5"/>
    <w:rsid w:val="585917F2"/>
    <w:rsid w:val="707B1077"/>
    <w:rsid w:val="72C2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9" w:line="356" w:lineRule="auto"/>
      <w:ind w:firstLine="636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174" w:line="259" w:lineRule="auto"/>
      <w:ind w:left="329" w:hanging="10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32"/>
    </w:rPr>
  </w:style>
  <w:style w:type="character" w:customStyle="1" w:styleId="8">
    <w:name w:val="页眉 字符"/>
    <w:basedOn w:val="5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149</Words>
  <Characters>853</Characters>
  <Lines>7</Lines>
  <Paragraphs>1</Paragraphs>
  <TotalTime>1</TotalTime>
  <ScaleCrop>false</ScaleCrop>
  <LinksUpToDate>false</LinksUpToDate>
  <CharactersWithSpaces>1001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2020-12-02T09:25:00Z</dcterms:created>
  <dc:creator>gmc</dc:creator>
  <cp:lastModifiedBy>Administrator</cp:lastModifiedBy>
  <dcterms:modified xsi:type="dcterms:W3CDTF">2022-10-31T03:54:07Z</dcterms:modified>
  <dc:title>2001年预算执行情况和2002预算安排草案有关问题的说明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