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黑体" w:hAnsi="黑体" w:eastAsia="黑体" w:cs="黑体"/>
          <w:bCs/>
          <w:color w:val="auto"/>
          <w:szCs w:val="32"/>
          <w:lang w:val="en-US" w:eastAsia="zh-CN"/>
        </w:rPr>
      </w:pPr>
      <w:r>
        <w:rPr>
          <w:rFonts w:hint="eastAsia" w:ascii="黑体" w:hAnsi="黑体" w:eastAsia="黑体" w:cs="黑体"/>
          <w:sz w:val="44"/>
          <w:szCs w:val="44"/>
          <w:lang w:eastAsia="zh-CN"/>
        </w:rPr>
        <w:t>兴安县第三中学</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黑体" w:hAnsi="黑体" w:eastAsia="黑体" w:cs="黑体"/>
          <w:sz w:val="44"/>
          <w:szCs w:val="44"/>
          <w:lang w:val="en-US" w:eastAsia="zh-CN"/>
        </w:rPr>
        <w:t>年单位预算公开说明</w:t>
      </w:r>
    </w:p>
    <w:p>
      <w:pPr>
        <w:adjustRightInd w:val="0"/>
        <w:snapToGrid w:val="0"/>
        <w:spacing w:line="560" w:lineRule="exact"/>
        <w:ind w:right="-333" w:rightChars="-104"/>
        <w:jc w:val="center"/>
        <w:rPr>
          <w:rFonts w:hint="eastAsia" w:ascii="黑体" w:hAnsi="宋体" w:eastAsia="黑体"/>
          <w:bCs/>
          <w:color w:val="auto"/>
          <w:szCs w:val="32"/>
        </w:rPr>
      </w:pPr>
      <w:r>
        <w:rPr>
          <w:rFonts w:hint="eastAsia" w:ascii="黑体" w:hAnsi="宋体" w:eastAsia="黑体"/>
          <w:bCs/>
          <w:color w:val="auto"/>
          <w:szCs w:val="32"/>
        </w:rPr>
        <w:t>目  录</w:t>
      </w:r>
    </w:p>
    <w:p>
      <w:pPr>
        <w:adjustRightInd w:val="0"/>
        <w:snapToGrid w:val="0"/>
        <w:spacing w:line="560" w:lineRule="exact"/>
        <w:ind w:right="-333" w:rightChars="-104" w:firstLine="640" w:firstLineChars="200"/>
        <w:rPr>
          <w:rFonts w:hint="eastAsia" w:ascii="黑体" w:hAnsi="宋体" w:eastAsia="黑体"/>
          <w:bCs/>
          <w:szCs w:val="32"/>
        </w:rPr>
      </w:pPr>
    </w:p>
    <w:p>
      <w:pPr>
        <w:spacing w:line="586" w:lineRule="exact"/>
        <w:jc w:val="left"/>
        <w:rPr>
          <w:rFonts w:ascii="Calibri" w:hAnsi="Calibri" w:eastAsia="黑体" w:cs="Times New Roman"/>
          <w:b/>
          <w:bCs/>
          <w:sz w:val="32"/>
          <w:szCs w:val="32"/>
        </w:rPr>
      </w:pPr>
      <w:r>
        <w:rPr>
          <w:rFonts w:ascii="Calibri" w:hAnsi="黑体" w:eastAsia="黑体" w:cs="Times New Roman"/>
          <w:b/>
          <w:bCs/>
          <w:sz w:val="32"/>
          <w:szCs w:val="32"/>
        </w:rPr>
        <w:t>第一部分</w:t>
      </w:r>
      <w:r>
        <w:rPr>
          <w:rFonts w:ascii="Calibri" w:hAnsi="Calibri" w:eastAsia="黑体" w:cs="Times New Roman"/>
          <w:b/>
          <w:bCs/>
          <w:sz w:val="32"/>
          <w:szCs w:val="32"/>
        </w:rPr>
        <w:t xml:space="preserve">  </w:t>
      </w:r>
      <w:r>
        <w:rPr>
          <w:rFonts w:ascii="Calibri" w:hAnsi="黑体" w:eastAsia="黑体" w:cs="Times New Roman"/>
          <w:b/>
          <w:bCs/>
          <w:sz w:val="32"/>
          <w:szCs w:val="32"/>
        </w:rPr>
        <w:t>部门概况</w:t>
      </w:r>
    </w:p>
    <w:p>
      <w:pPr>
        <w:autoSpaceDE w:val="0"/>
        <w:autoSpaceDN w:val="0"/>
        <w:adjustRightInd w:val="0"/>
        <w:spacing w:line="586" w:lineRule="exact"/>
        <w:ind w:left="16" w:leftChars="5"/>
        <w:jc w:val="left"/>
        <w:rPr>
          <w:rFonts w:ascii="Calibri" w:hAnsi="黑体" w:eastAsia="黑体" w:cs="Times New Roman"/>
          <w:b/>
          <w:bCs/>
          <w:sz w:val="32"/>
          <w:szCs w:val="32"/>
        </w:rPr>
      </w:pPr>
    </w:p>
    <w:p>
      <w:pPr>
        <w:autoSpaceDE w:val="0"/>
        <w:autoSpaceDN w:val="0"/>
        <w:adjustRightInd w:val="0"/>
        <w:spacing w:line="586" w:lineRule="exact"/>
        <w:ind w:left="16" w:leftChars="5"/>
        <w:jc w:val="left"/>
        <w:rPr>
          <w:rFonts w:ascii="Calibri" w:hAnsi="黑体" w:eastAsia="黑体" w:cs="Times New Roman"/>
          <w:b/>
          <w:bCs/>
          <w:sz w:val="32"/>
          <w:szCs w:val="32"/>
        </w:rPr>
      </w:pPr>
    </w:p>
    <w:p>
      <w:pPr>
        <w:autoSpaceDE w:val="0"/>
        <w:autoSpaceDN w:val="0"/>
        <w:adjustRightInd w:val="0"/>
        <w:spacing w:line="586" w:lineRule="exact"/>
        <w:ind w:left="16" w:leftChars="5"/>
        <w:jc w:val="left"/>
        <w:rPr>
          <w:rFonts w:hint="eastAsia" w:ascii="黑体" w:hAnsi="黑体" w:eastAsia="黑体" w:cs="黑体"/>
          <w:b/>
          <w:bCs/>
          <w:sz w:val="32"/>
          <w:szCs w:val="32"/>
        </w:rPr>
      </w:pPr>
      <w:r>
        <w:rPr>
          <w:rFonts w:ascii="Calibri" w:hAnsi="黑体" w:eastAsia="黑体" w:cs="Times New Roman"/>
          <w:b/>
          <w:bCs/>
          <w:sz w:val="32"/>
          <w:szCs w:val="32"/>
        </w:rPr>
        <w:t>第二部分</w:t>
      </w:r>
      <w:r>
        <w:rPr>
          <w:rFonts w:ascii="Calibri" w:hAnsi="Calibri" w:eastAsia="黑体" w:cs="Times New Roman"/>
          <w:b/>
          <w:bCs/>
          <w:sz w:val="32"/>
          <w:szCs w:val="32"/>
        </w:rPr>
        <w:t xml:space="preserve"> </w:t>
      </w:r>
      <w:r>
        <w:rPr>
          <w:rFonts w:hint="eastAsia" w:ascii="黑体" w:hAnsi="黑体" w:eastAsia="黑体" w:cs="黑体"/>
          <w:b/>
          <w:bCs/>
          <w:sz w:val="32"/>
          <w:szCs w:val="32"/>
        </w:rPr>
        <w:t xml:space="preserve"> 兴安县第三中学202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年单位预算情况说明</w:t>
      </w:r>
    </w:p>
    <w:p>
      <w:pPr>
        <w:autoSpaceDE w:val="0"/>
        <w:autoSpaceDN w:val="0"/>
        <w:adjustRightInd w:val="0"/>
        <w:spacing w:line="586" w:lineRule="exact"/>
        <w:ind w:left="-224" w:leftChars="-70" w:firstLine="157" w:firstLineChars="49"/>
        <w:jc w:val="left"/>
        <w:rPr>
          <w:rFonts w:ascii="Calibri" w:hAnsi="黑体" w:eastAsia="黑体" w:cs="Times New Roman"/>
          <w:b/>
          <w:bCs/>
          <w:sz w:val="32"/>
          <w:szCs w:val="32"/>
        </w:rPr>
      </w:pPr>
    </w:p>
    <w:p>
      <w:pPr>
        <w:autoSpaceDE w:val="0"/>
        <w:autoSpaceDN w:val="0"/>
        <w:adjustRightInd w:val="0"/>
        <w:spacing w:line="586" w:lineRule="exact"/>
        <w:ind w:left="-224" w:leftChars="-70" w:firstLine="157" w:firstLineChars="49"/>
        <w:jc w:val="left"/>
        <w:rPr>
          <w:rFonts w:ascii="Calibri" w:hAnsi="黑体" w:eastAsia="黑体" w:cs="Times New Roman"/>
          <w:b/>
          <w:bCs/>
          <w:sz w:val="32"/>
          <w:szCs w:val="32"/>
        </w:rPr>
      </w:pPr>
    </w:p>
    <w:p>
      <w:pPr>
        <w:autoSpaceDE w:val="0"/>
        <w:autoSpaceDN w:val="0"/>
        <w:adjustRightInd w:val="0"/>
        <w:spacing w:line="586" w:lineRule="exact"/>
        <w:ind w:left="-224" w:leftChars="-70" w:firstLine="157" w:firstLineChars="49"/>
        <w:jc w:val="left"/>
        <w:rPr>
          <w:rFonts w:ascii="Calibri" w:hAnsi="Calibri" w:eastAsia="黑体" w:cs="Times New Roman"/>
          <w:b/>
          <w:bCs/>
          <w:sz w:val="32"/>
          <w:szCs w:val="32"/>
        </w:rPr>
      </w:pPr>
      <w:r>
        <w:rPr>
          <w:rFonts w:ascii="Calibri" w:hAnsi="黑体" w:eastAsia="黑体" w:cs="Times New Roman"/>
          <w:b/>
          <w:bCs/>
          <w:sz w:val="32"/>
          <w:szCs w:val="32"/>
        </w:rPr>
        <w:t>第三部分</w:t>
      </w:r>
      <w:r>
        <w:rPr>
          <w:rFonts w:ascii="Calibri" w:hAnsi="Calibri" w:eastAsia="黑体" w:cs="Times New Roman"/>
          <w:b/>
          <w:bCs/>
          <w:sz w:val="32"/>
          <w:szCs w:val="32"/>
        </w:rPr>
        <w:t xml:space="preserve"> </w:t>
      </w:r>
      <w:r>
        <w:rPr>
          <w:rFonts w:hint="eastAsia" w:ascii="黑体" w:hAnsi="黑体" w:eastAsia="黑体" w:cs="黑体"/>
          <w:b/>
          <w:bCs/>
          <w:sz w:val="32"/>
          <w:szCs w:val="32"/>
        </w:rPr>
        <w:t>名词解释</w:t>
      </w:r>
    </w:p>
    <w:p>
      <w:pPr>
        <w:autoSpaceDE w:val="0"/>
        <w:autoSpaceDN w:val="0"/>
        <w:adjustRightInd w:val="0"/>
        <w:spacing w:line="586" w:lineRule="exact"/>
        <w:jc w:val="left"/>
        <w:rPr>
          <w:rFonts w:ascii="Calibri" w:hAnsi="黑体" w:eastAsia="黑体" w:cs="Times New Roman"/>
          <w:b/>
          <w:bCs/>
          <w:sz w:val="32"/>
          <w:szCs w:val="32"/>
        </w:rPr>
      </w:pPr>
    </w:p>
    <w:p>
      <w:pPr>
        <w:autoSpaceDE w:val="0"/>
        <w:autoSpaceDN w:val="0"/>
        <w:adjustRightInd w:val="0"/>
        <w:spacing w:line="586" w:lineRule="exact"/>
        <w:jc w:val="left"/>
        <w:rPr>
          <w:rFonts w:ascii="Calibri" w:hAnsi="黑体" w:eastAsia="黑体" w:cs="Times New Roman"/>
          <w:b/>
          <w:bCs/>
          <w:sz w:val="32"/>
          <w:szCs w:val="32"/>
        </w:rPr>
      </w:pPr>
    </w:p>
    <w:p>
      <w:pPr>
        <w:autoSpaceDE w:val="0"/>
        <w:autoSpaceDN w:val="0"/>
        <w:adjustRightInd w:val="0"/>
        <w:spacing w:line="586" w:lineRule="exact"/>
        <w:jc w:val="left"/>
        <w:rPr>
          <w:rFonts w:ascii="Calibri" w:hAnsi="Calibri" w:eastAsia="黑体" w:cs="Times New Roman"/>
          <w:b/>
          <w:bCs/>
          <w:sz w:val="32"/>
          <w:szCs w:val="32"/>
        </w:rPr>
      </w:pPr>
      <w:r>
        <w:rPr>
          <w:rFonts w:ascii="Calibri" w:hAnsi="黑体" w:eastAsia="黑体" w:cs="Times New Roman"/>
          <w:b/>
          <w:bCs/>
          <w:sz w:val="32"/>
          <w:szCs w:val="32"/>
        </w:rPr>
        <w:t>第四部分</w:t>
      </w:r>
      <w:r>
        <w:rPr>
          <w:rFonts w:ascii="Calibri" w:hAnsi="Calibri" w:eastAsia="黑体" w:cs="Times New Roman"/>
          <w:b/>
          <w:bCs/>
          <w:sz w:val="32"/>
          <w:szCs w:val="32"/>
        </w:rPr>
        <w:t xml:space="preserve"> </w:t>
      </w:r>
      <w:r>
        <w:rPr>
          <w:rFonts w:hint="eastAsia" w:ascii="Calibri" w:hAnsi="Calibri" w:eastAsia="黑体" w:cs="Times New Roman"/>
          <w:b/>
          <w:bCs/>
          <w:sz w:val="32"/>
          <w:szCs w:val="32"/>
        </w:rPr>
        <w:t xml:space="preserve"> </w:t>
      </w:r>
      <w:r>
        <w:rPr>
          <w:rFonts w:hint="eastAsia" w:ascii="黑体" w:hAnsi="黑体" w:eastAsia="黑体" w:cs="黑体"/>
          <w:b/>
          <w:bCs/>
          <w:sz w:val="32"/>
          <w:szCs w:val="32"/>
        </w:rPr>
        <w:t>兴安县第三中学202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年单位预算公开报表</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0" w:firstLineChars="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（一）遵守法律、法规；</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（二）贯彻国家的教育方针，执行国家教育教学标准，保证教育教学质量；</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（三）维护受教育者、教师及其他职工的合法权益；</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（四）以适当方式为受教育者及其监护人了解受教育者的学业成绩及其他有关情况提供便利；</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（五）遵照国家有关规定收取费用并公开收费项目；</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（六）依法接受监督；</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（七）按照章程自主管理；</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（八）组织实施教育教学活动；</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（九）招收学生或者其他受教育者；</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（十）对受教育者进行学籍管理，实施奖励或者处分；</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（十一）对受教育者颁发相应的学业证书；</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（十二）聘任教师及其他职工，实施奖励或者处分；</w:t>
      </w:r>
    </w:p>
    <w:p>
      <w:pPr>
        <w:spacing w:line="560" w:lineRule="exact"/>
        <w:ind w:firstLine="640" w:firstLineChars="200"/>
        <w:rPr>
          <w:rFonts w:hint="eastAsia" w:ascii="仿宋_GB2312" w:hAnsi="宋体"/>
          <w:szCs w:val="32"/>
          <w:u w:val="none"/>
          <w:lang w:eastAsia="zh-CN"/>
        </w:rPr>
      </w:pPr>
      <w:r>
        <w:rPr>
          <w:rFonts w:hint="eastAsia" w:ascii="仿宋_GB2312" w:hAnsi="宋体"/>
          <w:szCs w:val="32"/>
          <w:u w:val="none"/>
          <w:lang w:eastAsia="zh-CN"/>
        </w:rPr>
        <w:t>（十三）管理、使用本单位的设施和经费；</w:t>
      </w:r>
    </w:p>
    <w:p>
      <w:pPr>
        <w:spacing w:line="560" w:lineRule="exact"/>
        <w:ind w:firstLine="640" w:firstLineChars="200"/>
        <w:rPr>
          <w:rFonts w:hint="eastAsia" w:ascii="黑体" w:hAnsi="宋体" w:eastAsia="黑体"/>
          <w:szCs w:val="32"/>
        </w:rPr>
      </w:pPr>
      <w:r>
        <w:rPr>
          <w:rFonts w:hint="eastAsia" w:ascii="仿宋_GB2312" w:hAnsi="宋体"/>
          <w:szCs w:val="32"/>
          <w:u w:val="none"/>
          <w:lang w:eastAsia="zh-CN"/>
        </w:rPr>
        <w:t>（十四）拒绝任何组织和个人对教育教学活动的非法干涉。</w:t>
      </w:r>
      <w:r>
        <w:rPr>
          <w:rFonts w:hint="eastAsia" w:ascii="黑体" w:hAnsi="宋体" w:eastAsia="黑体"/>
          <w:szCs w:val="32"/>
        </w:rPr>
        <w:t>二、机构设置情况</w:t>
      </w:r>
    </w:p>
    <w:p>
      <w:pPr>
        <w:tabs>
          <w:tab w:val="center" w:pos="4475"/>
        </w:tabs>
        <w:spacing w:line="560" w:lineRule="exact"/>
        <w:ind w:firstLine="645"/>
        <w:rPr>
          <w:rFonts w:hint="eastAsia" w:ascii="仿宋_GB2312" w:hAnsi="宋体" w:eastAsia="黑体"/>
          <w:szCs w:val="32"/>
          <w:lang w:val="en-US" w:eastAsia="zh-CN"/>
        </w:rPr>
      </w:pPr>
      <w:r>
        <w:rPr>
          <w:rFonts w:hint="eastAsia" w:ascii="黑体" w:hAnsi="黑体" w:eastAsia="黑体" w:cs="黑体"/>
          <w:szCs w:val="32"/>
        </w:rPr>
        <w:t>（一）单位内设机构的数量、名称、职</w:t>
      </w:r>
      <w:r>
        <w:rPr>
          <w:rFonts w:hint="eastAsia" w:ascii="黑体" w:hAnsi="黑体" w:eastAsia="黑体" w:cs="黑体"/>
          <w:szCs w:val="32"/>
          <w:lang w:val="en-US" w:eastAsia="zh-CN"/>
        </w:rPr>
        <w:t>能</w:t>
      </w:r>
    </w:p>
    <w:p>
      <w:pPr>
        <w:tabs>
          <w:tab w:val="center" w:pos="4475"/>
        </w:tabs>
        <w:spacing w:line="560" w:lineRule="exact"/>
        <w:ind w:firstLine="645"/>
        <w:rPr>
          <w:rFonts w:hint="eastAsia" w:ascii="仿宋_GB2312" w:hAnsi="宋体"/>
          <w:szCs w:val="32"/>
        </w:rPr>
      </w:pPr>
      <w:r>
        <w:rPr>
          <w:rFonts w:hint="eastAsia" w:ascii="仿宋_GB2312" w:hAnsi="宋体"/>
          <w:szCs w:val="32"/>
        </w:rPr>
        <w:t>兴安县第三中学为二级预算单位，上级主管部门是兴安县教育局，我校设有工会、教务处、政教处、总务处4个职能部门，其部门职能主要如下：</w:t>
      </w:r>
    </w:p>
    <w:p>
      <w:pPr>
        <w:tabs>
          <w:tab w:val="center" w:pos="4475"/>
        </w:tabs>
        <w:spacing w:line="560" w:lineRule="exact"/>
        <w:ind w:firstLine="645"/>
        <w:rPr>
          <w:rFonts w:hint="eastAsia" w:ascii="仿宋_GB2312" w:hAnsi="宋体"/>
          <w:szCs w:val="32"/>
        </w:rPr>
      </w:pPr>
      <w:r>
        <w:rPr>
          <w:rFonts w:hint="eastAsia" w:ascii="仿宋_GB2312" w:hAnsi="宋体"/>
          <w:szCs w:val="32"/>
        </w:rPr>
        <w:t>1.工会的工作职能</w:t>
      </w:r>
    </w:p>
    <w:p>
      <w:pPr>
        <w:tabs>
          <w:tab w:val="center" w:pos="4475"/>
        </w:tabs>
        <w:spacing w:line="560" w:lineRule="exact"/>
        <w:ind w:firstLine="645"/>
        <w:rPr>
          <w:rFonts w:hint="eastAsia" w:ascii="仿宋_GB2312" w:hAnsi="宋体"/>
          <w:szCs w:val="32"/>
        </w:rPr>
      </w:pPr>
      <w:r>
        <w:rPr>
          <w:rFonts w:hint="eastAsia" w:ascii="仿宋_GB2312" w:hAnsi="宋体"/>
          <w:szCs w:val="32"/>
        </w:rPr>
        <w:t>（1）充分发挥工会的教育职能，努力抓好教职工队伍建设。</w:t>
      </w:r>
    </w:p>
    <w:p>
      <w:pPr>
        <w:tabs>
          <w:tab w:val="center" w:pos="4475"/>
        </w:tabs>
        <w:spacing w:line="560" w:lineRule="exact"/>
        <w:ind w:firstLine="645"/>
        <w:rPr>
          <w:rFonts w:hint="eastAsia" w:ascii="仿宋_GB2312" w:hAnsi="宋体"/>
          <w:szCs w:val="32"/>
        </w:rPr>
      </w:pPr>
      <w:r>
        <w:rPr>
          <w:rFonts w:hint="eastAsia" w:ascii="仿宋_GB2312" w:hAnsi="宋体"/>
          <w:szCs w:val="32"/>
        </w:rPr>
        <w:t>（2）充分发挥工会的监督职能，积极完善校园民主政治制度建设。</w:t>
      </w:r>
    </w:p>
    <w:p>
      <w:pPr>
        <w:tabs>
          <w:tab w:val="center" w:pos="4475"/>
        </w:tabs>
        <w:spacing w:line="560" w:lineRule="exact"/>
        <w:ind w:firstLine="645"/>
        <w:rPr>
          <w:rFonts w:hint="eastAsia" w:ascii="仿宋_GB2312" w:hAnsi="宋体"/>
          <w:szCs w:val="32"/>
        </w:rPr>
      </w:pPr>
      <w:r>
        <w:rPr>
          <w:rFonts w:hint="eastAsia" w:ascii="仿宋_GB2312" w:hAnsi="宋体"/>
          <w:szCs w:val="32"/>
        </w:rPr>
        <w:t>（3）充分发挥工会的维权职能，切实维护教职工的合法利益。</w:t>
      </w:r>
    </w:p>
    <w:p>
      <w:pPr>
        <w:tabs>
          <w:tab w:val="center" w:pos="4475"/>
        </w:tabs>
        <w:spacing w:line="560" w:lineRule="exact"/>
        <w:ind w:firstLine="645"/>
        <w:rPr>
          <w:rFonts w:hint="eastAsia" w:ascii="仿宋_GB2312" w:hAnsi="宋体"/>
          <w:szCs w:val="32"/>
        </w:rPr>
      </w:pPr>
      <w:r>
        <w:rPr>
          <w:rFonts w:hint="eastAsia" w:ascii="仿宋_GB2312" w:hAnsi="宋体"/>
          <w:szCs w:val="32"/>
        </w:rPr>
        <w:t>（4）充分发挥工会的协调职能，努力促进校园和谐。</w:t>
      </w:r>
    </w:p>
    <w:p>
      <w:pPr>
        <w:tabs>
          <w:tab w:val="center" w:pos="4475"/>
        </w:tabs>
        <w:spacing w:line="560" w:lineRule="exact"/>
        <w:ind w:firstLine="645"/>
        <w:rPr>
          <w:rFonts w:hint="eastAsia" w:ascii="仿宋_GB2312" w:hAnsi="宋体"/>
          <w:szCs w:val="32"/>
        </w:rPr>
      </w:pPr>
      <w:r>
        <w:rPr>
          <w:rFonts w:hint="eastAsia" w:ascii="仿宋_GB2312" w:hAnsi="宋体"/>
          <w:szCs w:val="32"/>
        </w:rPr>
        <w:t>2.教务处的工作职能 </w:t>
      </w:r>
    </w:p>
    <w:p>
      <w:pPr>
        <w:tabs>
          <w:tab w:val="center" w:pos="4475"/>
        </w:tabs>
        <w:spacing w:line="560" w:lineRule="exact"/>
        <w:ind w:firstLine="645"/>
        <w:rPr>
          <w:rFonts w:hint="eastAsia" w:ascii="仿宋_GB2312" w:hAnsi="宋体"/>
          <w:szCs w:val="32"/>
        </w:rPr>
      </w:pPr>
      <w:r>
        <w:rPr>
          <w:rFonts w:hint="eastAsia" w:ascii="仿宋_GB2312" w:hAnsi="宋体"/>
          <w:szCs w:val="32"/>
        </w:rPr>
        <w:t>教务处是学校教学的直接管理部门，负责计划、组织、实施、管理教学工作的全过程。教务处需要协助校长确定教学管理的重点，并具体负责监督执行教学计划方案，具体负责教学检查的组织实施，落实教学计划，确保学校教学不受干扰地正常进行。对学校的教学活动达到最有效的控制，使学校内部各种与教学有关的机制协调运行，达到教育和教学目标。 </w:t>
      </w:r>
    </w:p>
    <w:p>
      <w:pPr>
        <w:tabs>
          <w:tab w:val="center" w:pos="4475"/>
        </w:tabs>
        <w:spacing w:line="560" w:lineRule="exact"/>
        <w:ind w:firstLine="645"/>
        <w:rPr>
          <w:rFonts w:hint="eastAsia" w:ascii="仿宋_GB2312" w:hAnsi="宋体"/>
          <w:szCs w:val="32"/>
        </w:rPr>
      </w:pPr>
      <w:r>
        <w:rPr>
          <w:rFonts w:hint="eastAsia" w:ascii="仿宋_GB2312" w:hAnsi="宋体"/>
          <w:szCs w:val="32"/>
        </w:rPr>
        <w:t>3.政教处的工作职能 </w:t>
      </w:r>
    </w:p>
    <w:p>
      <w:pPr>
        <w:tabs>
          <w:tab w:val="center" w:pos="4475"/>
        </w:tabs>
        <w:spacing w:line="560" w:lineRule="exact"/>
        <w:ind w:firstLine="645"/>
        <w:rPr>
          <w:rFonts w:hint="eastAsia" w:ascii="仿宋_GB2312" w:hAnsi="宋体"/>
          <w:szCs w:val="32"/>
        </w:rPr>
      </w:pPr>
      <w:r>
        <w:rPr>
          <w:rFonts w:hint="eastAsia" w:ascii="仿宋_GB2312" w:hAnsi="宋体"/>
          <w:szCs w:val="32"/>
        </w:rPr>
        <w:t>政教处是校长领导全校德育工作的得力助手。其主要职责是全面负责学校对学生的常规管理、思想教育、日常行为规范的养成及学校有关的大型活动的组织工作，促进学生良好行为习惯的养成及思想道德水平的提高。 </w:t>
      </w:r>
    </w:p>
    <w:p>
      <w:pPr>
        <w:tabs>
          <w:tab w:val="center" w:pos="4475"/>
        </w:tabs>
        <w:spacing w:line="560" w:lineRule="exact"/>
        <w:ind w:firstLine="645"/>
        <w:rPr>
          <w:rFonts w:hint="eastAsia" w:ascii="仿宋_GB2312" w:hAnsi="宋体"/>
          <w:szCs w:val="32"/>
        </w:rPr>
      </w:pPr>
      <w:r>
        <w:rPr>
          <w:rFonts w:hint="eastAsia" w:ascii="仿宋_GB2312" w:hAnsi="宋体"/>
          <w:szCs w:val="32"/>
        </w:rPr>
        <w:t>4.总务处工作职能 </w:t>
      </w:r>
    </w:p>
    <w:p>
      <w:pPr>
        <w:tabs>
          <w:tab w:val="center" w:pos="4475"/>
        </w:tabs>
        <w:spacing w:line="560" w:lineRule="exact"/>
        <w:ind w:firstLine="645"/>
        <w:rPr>
          <w:rFonts w:hint="eastAsia" w:ascii="仿宋_GB2312" w:hAnsi="宋体"/>
          <w:szCs w:val="32"/>
        </w:rPr>
      </w:pPr>
      <w:r>
        <w:rPr>
          <w:rFonts w:hint="eastAsia" w:ascii="仿宋_GB2312" w:hAnsi="宋体"/>
          <w:szCs w:val="32"/>
        </w:rPr>
        <w:t>总务处是在校长领导下负责校园校舍、物资财产、生活福利等总务行政管理的职能处室。 </w:t>
      </w:r>
    </w:p>
    <w:p>
      <w:pPr>
        <w:tabs>
          <w:tab w:val="center" w:pos="4475"/>
        </w:tabs>
        <w:spacing w:line="560" w:lineRule="exact"/>
        <w:ind w:firstLine="645"/>
        <w:rPr>
          <w:rFonts w:hint="eastAsia" w:ascii="仿宋_GB2312" w:hAnsi="宋体"/>
          <w:szCs w:val="32"/>
        </w:rPr>
      </w:pPr>
      <w:r>
        <w:rPr>
          <w:rFonts w:hint="eastAsia" w:ascii="仿宋_GB2312" w:hAnsi="宋体"/>
          <w:szCs w:val="32"/>
        </w:rPr>
        <w:t>其主要职能是： </w:t>
      </w:r>
    </w:p>
    <w:p>
      <w:pPr>
        <w:tabs>
          <w:tab w:val="center" w:pos="4475"/>
        </w:tabs>
        <w:spacing w:line="560" w:lineRule="exact"/>
        <w:ind w:firstLine="645"/>
        <w:rPr>
          <w:rFonts w:hint="eastAsia" w:ascii="仿宋_GB2312" w:hAnsi="宋体"/>
          <w:szCs w:val="32"/>
        </w:rPr>
      </w:pPr>
      <w:r>
        <w:rPr>
          <w:rFonts w:hint="eastAsia" w:ascii="仿宋_GB2312" w:hAnsi="宋体"/>
          <w:szCs w:val="32"/>
        </w:rPr>
        <w:t>（1）规化职能：做好全校总务工作，编制学校总务工作计划并组织实施，配合学校教学任务的完成。 </w:t>
      </w:r>
    </w:p>
    <w:p>
      <w:pPr>
        <w:tabs>
          <w:tab w:val="center" w:pos="4475"/>
        </w:tabs>
        <w:spacing w:line="560" w:lineRule="exact"/>
        <w:ind w:firstLine="645"/>
        <w:rPr>
          <w:rFonts w:hint="eastAsia" w:ascii="仿宋_GB2312" w:hAnsi="宋体"/>
          <w:szCs w:val="32"/>
        </w:rPr>
      </w:pPr>
      <w:r>
        <w:rPr>
          <w:rFonts w:hint="eastAsia" w:ascii="仿宋_GB2312" w:hAnsi="宋体"/>
          <w:szCs w:val="32"/>
        </w:rPr>
        <w:t>（2）财务职能：遵守财经纪律，执行财务管理制度。做好学校学费、培训费的收取工作，做好财务核算、费用报销及审核工作，做好有关考勤、考核等奖金、工资发放工作。合理使用经费，按期报好报表。</w:t>
      </w:r>
    </w:p>
    <w:p>
      <w:pPr>
        <w:tabs>
          <w:tab w:val="center" w:pos="4475"/>
        </w:tabs>
        <w:spacing w:line="560" w:lineRule="exact"/>
        <w:ind w:firstLine="645"/>
        <w:rPr>
          <w:rFonts w:hint="eastAsia" w:ascii="仿宋_GB2312" w:hAnsi="宋体"/>
          <w:szCs w:val="32"/>
        </w:rPr>
      </w:pPr>
      <w:r>
        <w:rPr>
          <w:rFonts w:hint="eastAsia" w:ascii="仿宋_GB2312" w:hAnsi="宋体"/>
          <w:szCs w:val="32"/>
        </w:rPr>
        <w:t>（3）管理职能：负责学校基建、卫生保健、教学物品采购工作，协调本部门与校内外有关部门工作联系。负责全校各种设备、器具、财产的管理、保养和维修，指导有关部门和人员合理使用。负责门岗管理。 </w:t>
      </w:r>
    </w:p>
    <w:p>
      <w:pPr>
        <w:tabs>
          <w:tab w:val="center" w:pos="4475"/>
        </w:tabs>
        <w:spacing w:line="560" w:lineRule="exact"/>
        <w:ind w:firstLine="645"/>
        <w:rPr>
          <w:rFonts w:hint="eastAsia" w:ascii="仿宋_GB2312" w:hAnsi="宋体"/>
          <w:szCs w:val="32"/>
        </w:rPr>
      </w:pPr>
      <w:r>
        <w:rPr>
          <w:rFonts w:hint="eastAsia" w:ascii="仿宋_GB2312" w:hAnsi="宋体"/>
          <w:szCs w:val="32"/>
        </w:rPr>
        <w:t>（4）服务职能：负责学校后勤工作，负责全校教学区、教职工生活区卫生保洁的各类设施维修、监督、管理等工作。关心师生生活，办好食堂和教职工集体福利事业。</w:t>
      </w:r>
    </w:p>
    <w:p>
      <w:pPr>
        <w:numPr>
          <w:ilvl w:val="0"/>
          <w:numId w:val="0"/>
        </w:numPr>
        <w:spacing w:line="586" w:lineRule="exact"/>
        <w:ind w:firstLine="640" w:firstLineChars="200"/>
        <w:rPr>
          <w:rFonts w:hint="eastAsia" w:ascii="Calibri" w:hAnsi="黑体" w:eastAsia="黑体" w:cs="Times New Roman"/>
          <w:sz w:val="32"/>
          <w:szCs w:val="32"/>
          <w:lang w:val="en-US" w:eastAsia="zh-CN"/>
        </w:rPr>
      </w:pPr>
      <w:r>
        <w:rPr>
          <w:rFonts w:hint="eastAsia" w:ascii="Calibri" w:hAnsi="黑体" w:eastAsia="黑体" w:cs="Times New Roman"/>
          <w:sz w:val="32"/>
          <w:szCs w:val="32"/>
          <w:lang w:eastAsia="zh-CN"/>
        </w:rPr>
        <w:t>（</w:t>
      </w:r>
      <w:r>
        <w:rPr>
          <w:rFonts w:hint="eastAsia" w:ascii="Calibri" w:hAnsi="黑体" w:eastAsia="黑体" w:cs="Times New Roman"/>
          <w:sz w:val="32"/>
          <w:szCs w:val="32"/>
          <w:lang w:val="en-US" w:eastAsia="zh-CN"/>
        </w:rPr>
        <w:t>二</w:t>
      </w:r>
      <w:r>
        <w:rPr>
          <w:rFonts w:hint="eastAsia" w:ascii="Calibri" w:hAnsi="黑体" w:eastAsia="黑体" w:cs="Times New Roman"/>
          <w:sz w:val="32"/>
          <w:szCs w:val="32"/>
          <w:lang w:eastAsia="zh-CN"/>
        </w:rPr>
        <w:t>）</w:t>
      </w:r>
      <w:r>
        <w:rPr>
          <w:rFonts w:hint="eastAsia" w:ascii="Calibri" w:hAnsi="黑体" w:eastAsia="黑体" w:cs="Times New Roman"/>
          <w:sz w:val="32"/>
          <w:szCs w:val="32"/>
        </w:rPr>
        <w:t>兴安县第三中学</w:t>
      </w:r>
      <w:r>
        <w:rPr>
          <w:rFonts w:hint="eastAsia" w:ascii="Calibri" w:hAnsi="黑体" w:eastAsia="黑体" w:cs="Times New Roman"/>
          <w:sz w:val="32"/>
          <w:szCs w:val="32"/>
          <w:lang w:val="en-US" w:eastAsia="zh-CN"/>
        </w:rPr>
        <w:t>机构设置情况：</w:t>
      </w:r>
    </w:p>
    <w:p>
      <w:pPr>
        <w:spacing w:line="600" w:lineRule="exact"/>
        <w:ind w:firstLine="640" w:firstLineChars="200"/>
        <w:rPr>
          <w:rFonts w:hint="eastAsia"/>
          <w:szCs w:val="32"/>
          <w:lang w:val="en-US" w:eastAsia="zh-CN"/>
        </w:rPr>
      </w:pPr>
      <w:r>
        <w:rPr>
          <w:rFonts w:hint="eastAsia"/>
          <w:szCs w:val="32"/>
          <w:lang w:val="en-US" w:eastAsia="zh-CN"/>
        </w:rPr>
        <w:t>本单位所属单位个数：1个；</w:t>
      </w:r>
    </w:p>
    <w:p>
      <w:pPr>
        <w:spacing w:line="600" w:lineRule="exact"/>
        <w:ind w:firstLine="640" w:firstLineChars="200"/>
        <w:rPr>
          <w:rFonts w:hint="eastAsia"/>
          <w:szCs w:val="32"/>
          <w:lang w:eastAsia="zh-CN"/>
        </w:rPr>
      </w:pPr>
      <w:r>
        <w:rPr>
          <w:rFonts w:hint="eastAsia"/>
          <w:szCs w:val="32"/>
          <w:lang w:val="en-US" w:eastAsia="zh-CN"/>
        </w:rPr>
        <w:t>单位名称：</w:t>
      </w:r>
      <w:r>
        <w:rPr>
          <w:rFonts w:hint="eastAsia"/>
          <w:szCs w:val="32"/>
        </w:rPr>
        <w:t>兴安县第三中学</w:t>
      </w:r>
      <w:r>
        <w:rPr>
          <w:rFonts w:hint="eastAsia"/>
          <w:szCs w:val="32"/>
          <w:lang w:eastAsia="zh-CN"/>
        </w:rPr>
        <w:t>；</w:t>
      </w:r>
    </w:p>
    <w:p>
      <w:pPr>
        <w:spacing w:line="600" w:lineRule="exact"/>
        <w:ind w:firstLine="640" w:firstLineChars="200"/>
        <w:rPr>
          <w:rFonts w:hint="eastAsia"/>
          <w:szCs w:val="32"/>
          <w:lang w:val="en-US" w:eastAsia="zh-CN"/>
        </w:rPr>
      </w:pPr>
      <w:r>
        <w:rPr>
          <w:rFonts w:hint="eastAsia"/>
          <w:szCs w:val="32"/>
          <w:lang w:val="en-US" w:eastAsia="zh-CN"/>
        </w:rPr>
        <w:t>单位性质：财政全额拨款事业单位。</w:t>
      </w:r>
    </w:p>
    <w:p>
      <w:pPr>
        <w:tabs>
          <w:tab w:val="center" w:pos="4475"/>
        </w:tabs>
        <w:spacing w:line="560" w:lineRule="exact"/>
        <w:ind w:firstLine="645"/>
        <w:rPr>
          <w:rFonts w:hint="eastAsia" w:ascii="仿宋_GB2312" w:hAnsi="宋体"/>
          <w:szCs w:val="32"/>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兴安县第三中学</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 xml:space="preserve">总收入 </w:t>
      </w:r>
      <w:r>
        <w:rPr>
          <w:rFonts w:hint="eastAsia" w:ascii="仿宋_GB2312"/>
          <w:sz w:val="32"/>
          <w:szCs w:val="32"/>
          <w:lang w:val="en-US" w:eastAsia="zh-CN"/>
        </w:rPr>
        <w:t>1975.16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1975.16</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9.42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0.47%，主要原因是</w:t>
      </w:r>
      <w:r>
        <w:rPr>
          <w:rFonts w:hint="eastAsia" w:ascii="仿宋_GB2312"/>
          <w:szCs w:val="32"/>
          <w:lang w:val="en-US" w:eastAsia="zh-CN"/>
        </w:rPr>
        <w:t>人员调动</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0.47%，主要原因是</w:t>
      </w:r>
      <w:r>
        <w:rPr>
          <w:rFonts w:hint="eastAsia" w:ascii="仿宋_GB2312"/>
          <w:szCs w:val="32"/>
          <w:lang w:val="en-US" w:eastAsia="zh-CN"/>
        </w:rPr>
        <w:t>人员调动</w:t>
      </w:r>
      <w:r>
        <w:rPr>
          <w:rFonts w:hint="eastAsia" w:ascii="仿宋_GB2312"/>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1975.16</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9.42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0.47%，主要原因是</w:t>
      </w:r>
      <w:r>
        <w:rPr>
          <w:rFonts w:hint="eastAsia" w:ascii="仿宋_GB2312"/>
          <w:szCs w:val="32"/>
          <w:lang w:val="en-US" w:eastAsia="zh-CN"/>
        </w:rPr>
        <w:t>人员调动</w:t>
      </w:r>
      <w:r>
        <w:rPr>
          <w:rFonts w:hint="eastAsia" w:ascii="仿宋_GB2312"/>
          <w:sz w:val="32"/>
          <w:szCs w:val="32"/>
          <w:lang w:val="en-US" w:eastAsia="zh-CN"/>
        </w:rPr>
        <w:t>。单位收入主要包括：</w:t>
      </w:r>
      <w:r>
        <w:rPr>
          <w:rFonts w:hint="eastAsia" w:ascii="仿宋_GB2312" w:hAnsi="宋体"/>
          <w:szCs w:val="32"/>
          <w:lang w:val="en-US" w:eastAsia="zh-CN"/>
        </w:rPr>
        <w:t>一般公共预算拨款1975.16万元，占总预算收入的100%。</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1975.16</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9.42</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0.47%，主要原因是</w:t>
      </w:r>
      <w:r>
        <w:rPr>
          <w:rFonts w:hint="eastAsia" w:ascii="仿宋_GB2312"/>
          <w:szCs w:val="32"/>
          <w:lang w:val="en-US" w:eastAsia="zh-CN"/>
        </w:rPr>
        <w:t>人员调动</w:t>
      </w:r>
      <w:r>
        <w:rPr>
          <w:rFonts w:hint="eastAsia" w:ascii="仿宋_GB2312"/>
          <w:sz w:val="32"/>
          <w:szCs w:val="32"/>
          <w:lang w:val="en-US" w:eastAsia="zh-CN"/>
        </w:rPr>
        <w:t>。单位支出主要包括：</w:t>
      </w:r>
      <w:r>
        <w:rPr>
          <w:rFonts w:hint="eastAsia" w:ascii="仿宋_GB2312" w:hAnsi="宋体"/>
          <w:szCs w:val="32"/>
          <w:lang w:val="en-US" w:eastAsia="zh-CN"/>
        </w:rPr>
        <w:t>高中教育1975.16万元，</w:t>
      </w:r>
      <w:r>
        <w:rPr>
          <w:rFonts w:hint="eastAsia" w:ascii="仿宋_GB2312"/>
          <w:szCs w:val="32"/>
        </w:rPr>
        <w:t>占总预算支出的</w:t>
      </w:r>
      <w:r>
        <w:rPr>
          <w:rFonts w:hint="eastAsia" w:ascii="仿宋_GB2312"/>
          <w:szCs w:val="32"/>
          <w:lang w:val="en-US" w:eastAsia="zh-CN"/>
        </w:rPr>
        <w:t>100</w:t>
      </w:r>
      <w:r>
        <w:rPr>
          <w:rFonts w:hint="eastAsia" w:ascii="仿宋_GB2312"/>
          <w:szCs w:val="32"/>
        </w:rPr>
        <w:t>%</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eastAsia="仿宋_GB2312"/>
          <w:szCs w:val="32"/>
          <w:highlight w:val="none"/>
          <w:u w:val="none"/>
          <w:lang w:eastAsia="zh-CN"/>
        </w:rPr>
      </w:pPr>
      <w:r>
        <w:rPr>
          <w:rFonts w:hint="eastAsia" w:ascii="仿宋_GB2312" w:hAnsi="宋体"/>
          <w:b/>
          <w:bCs/>
          <w:szCs w:val="32"/>
          <w:highlight w:val="none"/>
          <w:u w:val="none"/>
        </w:rPr>
        <w:t>我</w:t>
      </w:r>
      <w:r>
        <w:rPr>
          <w:rFonts w:hint="eastAsia" w:ascii="仿宋_GB2312" w:hAnsi="宋体"/>
          <w:b/>
          <w:bCs/>
          <w:szCs w:val="32"/>
          <w:highlight w:val="none"/>
          <w:u w:val="none"/>
          <w:lang w:eastAsia="zh-CN"/>
        </w:rPr>
        <w:t>单位</w:t>
      </w:r>
      <w:r>
        <w:rPr>
          <w:rFonts w:hint="eastAsia" w:ascii="仿宋_GB2312" w:hAnsi="宋体"/>
          <w:b/>
          <w:bCs/>
          <w:szCs w:val="32"/>
          <w:highlight w:val="none"/>
          <w:u w:val="none"/>
        </w:rPr>
        <w:t>202</w:t>
      </w:r>
      <w:r>
        <w:rPr>
          <w:rFonts w:hint="eastAsia" w:ascii="仿宋_GB2312" w:hAnsi="宋体"/>
          <w:b/>
          <w:bCs/>
          <w:szCs w:val="32"/>
          <w:highlight w:val="none"/>
          <w:u w:val="none"/>
          <w:lang w:val="en-US" w:eastAsia="zh-CN"/>
        </w:rPr>
        <w:t>5</w:t>
      </w:r>
      <w:r>
        <w:rPr>
          <w:rFonts w:hint="eastAsia" w:ascii="仿宋_GB2312" w:hAnsi="宋体"/>
          <w:b/>
          <w:bCs/>
          <w:szCs w:val="32"/>
          <w:highlight w:val="none"/>
          <w:u w:val="none"/>
        </w:rPr>
        <w:t>年无政府性基金预算</w:t>
      </w:r>
      <w:r>
        <w:rPr>
          <w:rFonts w:hint="eastAsia" w:ascii="仿宋_GB2312" w:hAnsi="宋体"/>
          <w:b/>
          <w:bCs/>
          <w:szCs w:val="32"/>
          <w:highlight w:val="none"/>
          <w:u w:val="none"/>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黑体" w:eastAsia="仿宋_GB2312"/>
          <w:szCs w:val="32"/>
          <w:u w:val="none"/>
          <w:lang w:eastAsia="zh-CN"/>
        </w:rPr>
      </w:pPr>
      <w:r>
        <w:rPr>
          <w:rFonts w:hint="eastAsia" w:ascii="仿宋_GB2312" w:hAnsi="宋体"/>
          <w:b/>
          <w:bCs/>
          <w:szCs w:val="32"/>
          <w:highlight w:val="none"/>
          <w:u w:val="none"/>
        </w:rPr>
        <w:t>我</w:t>
      </w:r>
      <w:r>
        <w:rPr>
          <w:rFonts w:hint="eastAsia" w:ascii="仿宋_GB2312" w:hAnsi="宋体"/>
          <w:b/>
          <w:bCs/>
          <w:szCs w:val="32"/>
          <w:highlight w:val="none"/>
          <w:u w:val="none"/>
          <w:lang w:eastAsia="zh-CN"/>
        </w:rPr>
        <w:t>单位</w:t>
      </w:r>
      <w:r>
        <w:rPr>
          <w:rFonts w:hint="eastAsia" w:ascii="仿宋_GB2312" w:hAnsi="宋体"/>
          <w:b/>
          <w:bCs/>
          <w:szCs w:val="32"/>
          <w:highlight w:val="none"/>
          <w:u w:val="none"/>
        </w:rPr>
        <w:t>202</w:t>
      </w:r>
      <w:r>
        <w:rPr>
          <w:rFonts w:hint="eastAsia" w:ascii="仿宋_GB2312" w:hAnsi="宋体"/>
          <w:b/>
          <w:bCs/>
          <w:szCs w:val="32"/>
          <w:highlight w:val="none"/>
          <w:u w:val="none"/>
          <w:lang w:val="en-US" w:eastAsia="zh-CN"/>
        </w:rPr>
        <w:t>5</w:t>
      </w:r>
      <w:r>
        <w:rPr>
          <w:rFonts w:hint="eastAsia" w:ascii="仿宋_GB2312" w:hAnsi="宋体"/>
          <w:b/>
          <w:bCs/>
          <w:szCs w:val="32"/>
          <w:highlight w:val="none"/>
          <w:u w:val="none"/>
        </w:rPr>
        <w:t>年无</w:t>
      </w:r>
      <w:r>
        <w:rPr>
          <w:rFonts w:hint="eastAsia" w:ascii="仿宋_GB2312" w:hAnsi="宋体"/>
          <w:b/>
          <w:bCs/>
          <w:szCs w:val="32"/>
          <w:highlight w:val="none"/>
          <w:u w:val="none"/>
          <w:lang w:eastAsia="zh-CN"/>
        </w:rPr>
        <w:t>国有资本经营</w:t>
      </w:r>
      <w:r>
        <w:rPr>
          <w:rFonts w:hint="eastAsia" w:ascii="仿宋_GB2312" w:hAnsi="宋体"/>
          <w:b/>
          <w:bCs/>
          <w:szCs w:val="32"/>
          <w:highlight w:val="none"/>
          <w:u w:val="none"/>
        </w:rPr>
        <w:t>预算</w:t>
      </w:r>
      <w:r>
        <w:rPr>
          <w:rFonts w:hint="eastAsia" w:ascii="仿宋_GB2312" w:hAnsi="宋体"/>
          <w:b/>
          <w:bCs/>
          <w:szCs w:val="32"/>
          <w:highlight w:val="none"/>
          <w:u w:val="none"/>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u w:val="none"/>
          <w:lang w:eastAsia="zh-CN"/>
        </w:rPr>
        <w:t>六</w:t>
      </w:r>
      <w:r>
        <w:rPr>
          <w:rFonts w:hint="eastAsia" w:ascii="黑体" w:eastAsia="黑体"/>
          <w:szCs w:val="32"/>
          <w:u w:val="none"/>
        </w:rPr>
        <w:t>、一般公共预算“三公”经费支出情</w:t>
      </w:r>
      <w:r>
        <w:rPr>
          <w:rFonts w:hint="eastAsia" w:ascii="黑体" w:eastAsia="黑体"/>
          <w:szCs w:val="32"/>
        </w:rPr>
        <w:t>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bookmarkStart w:id="0" w:name="OLE_LINK1"/>
      <w:r>
        <w:rPr>
          <w:rFonts w:hint="eastAsia" w:ascii="仿宋_GB2312"/>
          <w:bCs/>
          <w:lang w:eastAsia="zh-CN"/>
        </w:rPr>
        <w:t>与上年持平</w:t>
      </w:r>
      <w:bookmarkEnd w:id="0"/>
      <w:r>
        <w:rPr>
          <w:rFonts w:hint="eastAsia" w:ascii="仿宋_GB2312"/>
          <w:bCs/>
        </w:rPr>
        <w:t>，</w:t>
      </w:r>
      <w:bookmarkStart w:id="1" w:name="OLE_LINK6"/>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bookmarkStart w:id="2" w:name="OLE_LINK3"/>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bookmarkEnd w:id="2"/>
      <w:bookmarkStart w:id="3" w:name="OLE_LINK2"/>
      <w:r>
        <w:rPr>
          <w:rFonts w:hint="eastAsia" w:ascii="仿宋_GB2312"/>
          <w:bCs/>
          <w:lang w:eastAsia="zh-CN"/>
        </w:rPr>
        <w:t>与上年持平</w:t>
      </w:r>
      <w:bookmarkEnd w:id="3"/>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bookmarkEnd w:id="1"/>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val="en-US" w:eastAsia="zh-CN"/>
        </w:rPr>
        <w:t>事业单位</w:t>
      </w:r>
      <w:r>
        <w:rPr>
          <w:rFonts w:hint="eastAsia" w:ascii="黑体" w:hAnsi="黑体" w:eastAsia="黑体" w:cs="黑体"/>
          <w:szCs w:val="32"/>
        </w:rPr>
        <w:t>运行经费安排情况说明</w:t>
      </w:r>
    </w:p>
    <w:p>
      <w:pPr>
        <w:tabs>
          <w:tab w:val="center" w:pos="4475"/>
        </w:tabs>
        <w:spacing w:line="560" w:lineRule="exact"/>
        <w:ind w:firstLine="645"/>
        <w:rPr>
          <w:rFonts w:hint="eastAsia" w:ascii="仿宋_GB2312" w:hAnsi="宋体"/>
          <w:b/>
          <w:bCs/>
          <w:szCs w:val="32"/>
          <w:highlight w:val="none"/>
          <w:u w:val="none"/>
        </w:rPr>
      </w:pPr>
      <w:r>
        <w:rPr>
          <w:rFonts w:hint="eastAsia" w:ascii="仿宋_GB2312" w:hAnsi="宋体"/>
          <w:b/>
          <w:bCs/>
          <w:szCs w:val="32"/>
          <w:highlight w:val="none"/>
          <w:u w:val="none"/>
          <w:lang w:eastAsia="zh-CN"/>
        </w:rPr>
        <w:t>我单位</w:t>
      </w:r>
      <w:r>
        <w:rPr>
          <w:rFonts w:hint="eastAsia" w:ascii="仿宋_GB2312" w:hAnsi="宋体"/>
          <w:b/>
          <w:bCs/>
          <w:szCs w:val="32"/>
          <w:highlight w:val="none"/>
          <w:u w:val="none"/>
          <w:lang w:val="en-US" w:eastAsia="zh-CN"/>
        </w:rPr>
        <w:t>2025年无</w:t>
      </w:r>
      <w:r>
        <w:rPr>
          <w:rFonts w:hint="eastAsia" w:ascii="仿宋_GB2312" w:hAnsi="宋体"/>
          <w:b/>
          <w:bCs/>
          <w:szCs w:val="32"/>
          <w:highlight w:val="none"/>
          <w:u w:val="none"/>
          <w:lang w:eastAsia="zh-CN"/>
        </w:rPr>
        <w:t>事业单位</w:t>
      </w:r>
      <w:r>
        <w:rPr>
          <w:rFonts w:hint="eastAsia" w:ascii="仿宋_GB2312" w:hAnsi="宋体"/>
          <w:b/>
          <w:bCs/>
          <w:szCs w:val="32"/>
          <w:highlight w:val="none"/>
          <w:u w:val="none"/>
          <w:lang w:val="en-US" w:eastAsia="zh-CN"/>
        </w:rPr>
        <w:t>运行经费预算。</w:t>
      </w:r>
    </w:p>
    <w:p>
      <w:pPr>
        <w:numPr>
          <w:ilvl w:val="0"/>
          <w:numId w:val="1"/>
        </w:numPr>
        <w:tabs>
          <w:tab w:val="center" w:pos="4475"/>
        </w:tabs>
        <w:spacing w:line="560" w:lineRule="exact"/>
        <w:ind w:firstLine="645"/>
        <w:rPr>
          <w:rFonts w:hint="eastAsia" w:ascii="黑体" w:hAnsi="黑体" w:eastAsia="黑体" w:cs="黑体"/>
          <w:kern w:val="0"/>
        </w:rPr>
      </w:pPr>
      <w:r>
        <w:rPr>
          <w:rFonts w:hint="eastAsia" w:ascii="黑体" w:hAnsi="黑体" w:eastAsia="黑体" w:cs="黑体"/>
          <w:kern w:val="0"/>
        </w:rPr>
        <w:t>政府采购预算安排情况说明</w:t>
      </w:r>
    </w:p>
    <w:p>
      <w:pPr>
        <w:numPr>
          <w:ilvl w:val="0"/>
          <w:numId w:val="0"/>
        </w:numPr>
        <w:tabs>
          <w:tab w:val="center" w:pos="4475"/>
        </w:tabs>
        <w:spacing w:line="560" w:lineRule="exact"/>
        <w:ind w:firstLine="643" w:firstLineChars="200"/>
        <w:rPr>
          <w:rFonts w:hint="eastAsia" w:ascii="黑体" w:hAnsi="黑体" w:eastAsia="黑体" w:cs="黑体"/>
          <w:kern w:val="0"/>
        </w:rPr>
      </w:pPr>
      <w:r>
        <w:rPr>
          <w:rFonts w:hint="eastAsia" w:ascii="仿宋_GB2312" w:hAnsi="宋体"/>
          <w:b/>
          <w:bCs/>
          <w:szCs w:val="32"/>
          <w:highlight w:val="none"/>
          <w:u w:val="none"/>
          <w:lang w:eastAsia="zh-CN"/>
        </w:rPr>
        <w:t>我单位</w:t>
      </w:r>
      <w:r>
        <w:rPr>
          <w:rFonts w:hint="eastAsia" w:ascii="仿宋_GB2312" w:hAnsi="宋体"/>
          <w:b/>
          <w:bCs/>
          <w:szCs w:val="32"/>
          <w:highlight w:val="none"/>
          <w:u w:val="none"/>
          <w:lang w:val="en-US" w:eastAsia="zh-CN"/>
        </w:rPr>
        <w:t>2025年无政府采购预算。</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default" w:ascii="黑体" w:hAnsi="黑体" w:eastAsia="黑体" w:cs="黑体"/>
          <w:szCs w:val="32"/>
          <w:lang w:val="en-US" w:eastAsia="zh-CN"/>
        </w:rPr>
      </w:pPr>
      <w:r>
        <w:rPr>
          <w:rFonts w:hint="eastAsia" w:ascii="黑体" w:hAnsi="黑体" w:eastAsia="黑体" w:cs="黑体"/>
          <w:szCs w:val="32"/>
          <w:lang w:eastAsia="zh-CN"/>
        </w:rPr>
        <w:t>我单位</w:t>
      </w:r>
      <w:r>
        <w:rPr>
          <w:rFonts w:hint="eastAsia" w:ascii="黑体" w:hAnsi="黑体" w:eastAsia="黑体" w:cs="黑体"/>
          <w:szCs w:val="32"/>
          <w:lang w:val="en-US" w:eastAsia="zh-CN"/>
        </w:rPr>
        <w:t>2025年无国有资产占用情况。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pacing w:line="560" w:lineRule="exact"/>
        <w:ind w:firstLine="645"/>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2025年所有项目支出全面实施绩效目标管理，涉及自治区本级项目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w:t>
      </w:r>
    </w:p>
    <w:p>
      <w:pPr>
        <w:tabs>
          <w:tab w:val="center" w:pos="4475"/>
        </w:tabs>
        <w:spacing w:line="560" w:lineRule="exact"/>
        <w:ind w:firstLine="640" w:firstLineChars="200"/>
        <w:rPr>
          <w:rFonts w:hint="eastAsia" w:ascii="仿宋_GB2312"/>
          <w:sz w:val="32"/>
          <w:szCs w:val="32"/>
          <w:lang w:val="en-US" w:eastAsia="zh-CN"/>
        </w:rPr>
      </w:pPr>
      <w:bookmarkStart w:id="4" w:name="OLE_LINK11"/>
      <w:r>
        <w:rPr>
          <w:rFonts w:hint="eastAsia" w:ascii="仿宋_GB2312"/>
          <w:sz w:val="32"/>
          <w:szCs w:val="32"/>
          <w:lang w:val="en-US" w:eastAsia="zh-CN"/>
        </w:rPr>
        <w:t>（二）重点项目预算绩效目标说明。</w:t>
      </w:r>
    </w:p>
    <w:p>
      <w:pPr>
        <w:tabs>
          <w:tab w:val="center" w:pos="4475"/>
        </w:tabs>
        <w:spacing w:line="560" w:lineRule="exact"/>
        <w:ind w:firstLine="640" w:firstLineChars="200"/>
        <w:rPr>
          <w:rFonts w:hint="default" w:ascii="仿宋_GB2312"/>
          <w:sz w:val="32"/>
          <w:szCs w:val="32"/>
          <w:lang w:val="en-US" w:eastAsia="zh-CN"/>
        </w:rPr>
      </w:pPr>
      <w:r>
        <w:rPr>
          <w:rFonts w:hint="eastAsia" w:ascii="仿宋_GB2312"/>
          <w:sz w:val="32"/>
          <w:szCs w:val="32"/>
          <w:lang w:val="en-US" w:eastAsia="zh-CN"/>
        </w:rPr>
        <w:t>我单位2025年无重点项目预算绩效目标说明情况。</w:t>
      </w:r>
      <w:bookmarkStart w:id="5" w:name="_GoBack"/>
      <w:bookmarkEnd w:id="5"/>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22"/>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303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040"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eastAsia="zh-CN"/>
              </w:rPr>
              <w:t>无</w:t>
            </w:r>
            <w:r>
              <w:rPr>
                <w:rFonts w:hint="eastAsia" w:ascii="仿宋_GB2312" w:hAnsi="仿宋_GB2312" w:cs="仿宋_GB2312"/>
                <w:szCs w:val="32"/>
                <w:vertAlign w:val="baseline"/>
                <w:lang w:val="en-US" w:eastAsia="zh-CN"/>
              </w:rPr>
              <w:t xml:space="preserve"> </w:t>
            </w:r>
          </w:p>
        </w:tc>
        <w:tc>
          <w:tcPr>
            <w:tcW w:w="3039" w:type="dxa"/>
            <w:noWrap w:val="0"/>
            <w:vAlign w:val="top"/>
          </w:tcPr>
          <w:p>
            <w:pPr>
              <w:tabs>
                <w:tab w:val="center" w:pos="4475"/>
              </w:tabs>
              <w:spacing w:line="560" w:lineRule="exact"/>
              <w:jc w:val="center"/>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val="en-US" w:eastAsia="zh-CN"/>
              </w:rPr>
              <w:t>0</w:t>
            </w:r>
          </w:p>
        </w:tc>
        <w:tc>
          <w:tcPr>
            <w:tcW w:w="3040" w:type="dxa"/>
            <w:noWrap w:val="0"/>
            <w:vAlign w:val="top"/>
          </w:tcPr>
          <w:p>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p>
        </w:tc>
        <w:tc>
          <w:tcPr>
            <w:tcW w:w="3039"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p>
        </w:tc>
        <w:tc>
          <w:tcPr>
            <w:tcW w:w="3040"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40"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r>
      <w:bookmarkEnd w:id="4"/>
    </w:tbl>
    <w:p>
      <w:pPr>
        <w:tabs>
          <w:tab w:val="center" w:pos="4475"/>
        </w:tabs>
        <w:spacing w:line="560" w:lineRule="exact"/>
        <w:ind w:firstLine="645"/>
        <w:rPr>
          <w:rFonts w:hint="eastAsia" w:ascii="仿宋_GB2312" w:hAnsi="Times New Roman" w:eastAsia="仿宋_GB2312" w:cs="仿宋_GB2312"/>
          <w:b w:val="0"/>
          <w:bCs w:val="0"/>
          <w:caps w:val="0"/>
          <w:color w:val="auto"/>
          <w:kern w:val="2"/>
          <w:sz w:val="32"/>
          <w:szCs w:val="32"/>
          <w:vertAlign w:val="baseline"/>
          <w:lang w:val="en-US" w:eastAsia="zh-CN" w:bidi="ar"/>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tabs>
          <w:tab w:val="center" w:pos="4475"/>
        </w:tabs>
        <w:spacing w:line="560" w:lineRule="exact"/>
        <w:ind w:firstLine="645"/>
        <w:rPr>
          <w:rFonts w:hint="eastAsia" w:ascii="仿宋_GB2312" w:hAnsi="宋体"/>
          <w:szCs w:val="32"/>
          <w:u w:val="none"/>
        </w:rPr>
      </w:pPr>
      <w:r>
        <w:rPr>
          <w:rFonts w:hint="eastAsia" w:ascii="仿宋_GB2312" w:hAnsi="宋体"/>
          <w:b/>
          <w:bCs/>
          <w:szCs w:val="32"/>
          <w:u w:val="none"/>
        </w:rPr>
        <w:t>一、财政拨款收入：</w:t>
      </w:r>
      <w:r>
        <w:rPr>
          <w:rFonts w:hint="eastAsia" w:ascii="仿宋_GB2312" w:hAnsi="宋体"/>
          <w:szCs w:val="32"/>
          <w:u w:val="none"/>
        </w:rPr>
        <w:t>指县级财政部门当年拨付的资金。 </w:t>
      </w:r>
    </w:p>
    <w:p>
      <w:pPr>
        <w:tabs>
          <w:tab w:val="center" w:pos="4475"/>
        </w:tabs>
        <w:spacing w:line="560" w:lineRule="exact"/>
        <w:ind w:firstLine="645"/>
        <w:rPr>
          <w:rFonts w:hint="eastAsia" w:ascii="仿宋_GB2312" w:hAnsi="宋体"/>
          <w:szCs w:val="32"/>
          <w:u w:val="none"/>
        </w:rPr>
      </w:pPr>
      <w:r>
        <w:rPr>
          <w:rFonts w:hint="eastAsia" w:ascii="仿宋_GB2312" w:hAnsi="宋体"/>
          <w:b/>
          <w:bCs/>
          <w:szCs w:val="32"/>
          <w:u w:val="none"/>
        </w:rPr>
        <w:t>二、其他收入：</w:t>
      </w:r>
      <w:r>
        <w:rPr>
          <w:rFonts w:hint="eastAsia" w:ascii="仿宋_GB2312" w:hAnsi="宋体"/>
          <w:szCs w:val="32"/>
          <w:u w:val="none"/>
        </w:rPr>
        <w:t>指除上述“财政拨款收入”、“事业收入”、“经营收入”等以外的收入。</w:t>
      </w:r>
    </w:p>
    <w:p>
      <w:pPr>
        <w:tabs>
          <w:tab w:val="center" w:pos="4475"/>
        </w:tabs>
        <w:spacing w:line="560" w:lineRule="exact"/>
        <w:ind w:firstLine="645"/>
        <w:rPr>
          <w:rFonts w:hint="eastAsia" w:ascii="仿宋_GB2312" w:hAnsi="宋体"/>
          <w:szCs w:val="32"/>
          <w:u w:val="none"/>
        </w:rPr>
      </w:pPr>
      <w:r>
        <w:rPr>
          <w:rFonts w:hint="eastAsia" w:ascii="仿宋_GB2312" w:hAnsi="宋体"/>
          <w:b/>
          <w:bCs/>
          <w:szCs w:val="32"/>
          <w:u w:val="none"/>
        </w:rPr>
        <w:t>三、基本支出：</w:t>
      </w:r>
      <w:r>
        <w:rPr>
          <w:rFonts w:hint="eastAsia" w:ascii="仿宋_GB2312" w:hAnsi="宋体"/>
          <w:szCs w:val="32"/>
          <w:u w:val="none"/>
        </w:rPr>
        <w:t>指为保障机构正常运转、完成日常工作任务而发生的人员支出和公用支出。 </w:t>
      </w:r>
    </w:p>
    <w:p>
      <w:pPr>
        <w:tabs>
          <w:tab w:val="center" w:pos="4475"/>
        </w:tabs>
        <w:spacing w:line="560" w:lineRule="exact"/>
        <w:ind w:firstLine="645"/>
        <w:rPr>
          <w:rFonts w:hint="eastAsia" w:ascii="仿宋_GB2312" w:hAnsi="宋体"/>
          <w:szCs w:val="32"/>
          <w:u w:val="none"/>
        </w:rPr>
      </w:pPr>
      <w:r>
        <w:rPr>
          <w:rFonts w:hint="eastAsia" w:ascii="仿宋_GB2312" w:hAnsi="宋体"/>
          <w:b/>
          <w:bCs/>
          <w:szCs w:val="32"/>
          <w:u w:val="none"/>
        </w:rPr>
        <w:t>四、项目支出：</w:t>
      </w:r>
      <w:r>
        <w:rPr>
          <w:rFonts w:hint="eastAsia" w:ascii="仿宋_GB2312" w:hAnsi="宋体"/>
          <w:szCs w:val="32"/>
          <w:u w:val="none"/>
        </w:rPr>
        <w:t>指在基本支出之外为完成特定行政任务和事业发展目标所发生的支出。 </w:t>
      </w:r>
    </w:p>
    <w:p>
      <w:pPr>
        <w:tabs>
          <w:tab w:val="center" w:pos="4475"/>
        </w:tabs>
        <w:spacing w:line="560" w:lineRule="exact"/>
        <w:ind w:firstLine="645"/>
        <w:rPr>
          <w:rFonts w:hint="eastAsia" w:ascii="仿宋_GB2312" w:hAnsi="宋体"/>
          <w:szCs w:val="32"/>
          <w:u w:val="none"/>
        </w:rPr>
      </w:pPr>
      <w:r>
        <w:rPr>
          <w:rFonts w:hint="eastAsia" w:ascii="仿宋_GB2312" w:hAnsi="宋体"/>
          <w:b/>
          <w:bCs/>
          <w:szCs w:val="32"/>
          <w:u w:val="none"/>
        </w:rPr>
        <w:t>五、“三公”经费：</w:t>
      </w:r>
      <w:r>
        <w:rPr>
          <w:rFonts w:hint="eastAsia" w:ascii="仿宋_GB2312" w:hAnsi="宋体"/>
          <w:szCs w:val="32"/>
          <w:u w:val="none"/>
        </w:rPr>
        <w:t>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tabs>
          <w:tab w:val="center" w:pos="4475"/>
        </w:tabs>
        <w:spacing w:line="560" w:lineRule="exact"/>
        <w:ind w:firstLine="645"/>
        <w:rPr>
          <w:rFonts w:ascii="黑体" w:eastAsia="黑体"/>
          <w:szCs w:val="32"/>
          <w:u w:val="none"/>
        </w:rPr>
      </w:pPr>
      <w:r>
        <w:rPr>
          <w:rFonts w:hint="eastAsia" w:ascii="仿宋_GB2312" w:hAnsi="宋体"/>
          <w:b/>
          <w:bCs/>
          <w:szCs w:val="32"/>
          <w:u w:val="none"/>
        </w:rPr>
        <w:t>六、</w:t>
      </w:r>
      <w:r>
        <w:rPr>
          <w:rFonts w:hint="eastAsia" w:ascii="仿宋_GB2312" w:hAnsi="宋体"/>
          <w:b/>
          <w:bCs/>
          <w:szCs w:val="32"/>
          <w:u w:val="none"/>
          <w:lang w:val="en-US" w:eastAsia="zh-CN"/>
        </w:rPr>
        <w:t>事业单位</w:t>
      </w:r>
      <w:r>
        <w:rPr>
          <w:rFonts w:hint="eastAsia" w:ascii="仿宋_GB2312" w:hAnsi="宋体"/>
          <w:b/>
          <w:bCs/>
          <w:szCs w:val="32"/>
          <w:u w:val="none"/>
        </w:rPr>
        <w:t>运行经费：</w:t>
      </w:r>
      <w:r>
        <w:rPr>
          <w:rFonts w:hint="eastAsia" w:ascii="仿宋_GB2312" w:hAnsi="宋体"/>
          <w:szCs w:val="32"/>
          <w:u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napToGrid w:val="0"/>
        <w:spacing w:line="560" w:lineRule="exact"/>
        <w:rPr>
          <w:rFonts w:hint="eastAsia" w:ascii="仿宋_GB2312"/>
        </w:rPr>
      </w:pPr>
    </w:p>
    <w:p>
      <w:pPr>
        <w:tabs>
          <w:tab w:val="center" w:pos="4475"/>
        </w:tabs>
        <w:spacing w:line="560" w:lineRule="exact"/>
        <w:ind w:firstLine="645"/>
        <w:rPr>
          <w:rFonts w:hint="eastAsia" w:ascii="黑体" w:eastAsia="黑体"/>
          <w:szCs w:val="32"/>
        </w:rPr>
      </w:pPr>
      <w:r>
        <w:rPr>
          <w:rFonts w:hint="eastAsia" w:ascii="黑体" w:eastAsia="黑体"/>
          <w:szCs w:val="32"/>
        </w:rPr>
        <w:t>第四部分：</w:t>
      </w:r>
      <w:r>
        <w:rPr>
          <w:rFonts w:hint="eastAsia" w:ascii="黑体" w:hAnsi="宋体" w:eastAsia="黑体"/>
          <w:szCs w:val="32"/>
          <w:lang w:eastAsia="zh-CN"/>
        </w:rPr>
        <w:t>兴安县第三中学</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预算公开报表</w:t>
      </w:r>
    </w:p>
    <w:p>
      <w:pPr>
        <w:tabs>
          <w:tab w:val="center" w:pos="4475"/>
        </w:tabs>
        <w:spacing w:line="560" w:lineRule="exact"/>
        <w:ind w:firstLine="645"/>
        <w:rPr>
          <w:rFonts w:hint="eastAsia" w:ascii="仿宋_GB2312" w:hAnsi="宋体"/>
          <w:szCs w:val="32"/>
        </w:rPr>
      </w:pPr>
      <w:r>
        <w:rPr>
          <w:rFonts w:hint="eastAsia" w:ascii="仿宋_GB2312" w:hAnsi="宋体"/>
          <w:szCs w:val="32"/>
        </w:rPr>
        <w:t>一、部门收支总体情况表（表1）</w:t>
      </w:r>
    </w:p>
    <w:p>
      <w:pPr>
        <w:tabs>
          <w:tab w:val="center" w:pos="4475"/>
        </w:tabs>
        <w:spacing w:line="560" w:lineRule="exact"/>
        <w:ind w:firstLine="645"/>
        <w:rPr>
          <w:rFonts w:hint="eastAsia" w:ascii="仿宋_GB2312" w:hAnsi="宋体"/>
          <w:szCs w:val="32"/>
        </w:rPr>
      </w:pPr>
      <w:r>
        <w:rPr>
          <w:rFonts w:hint="eastAsia" w:ascii="仿宋_GB2312" w:hAnsi="宋体"/>
          <w:szCs w:val="32"/>
        </w:rPr>
        <w:t>二、部门收入总体情况表（表2）</w:t>
      </w:r>
    </w:p>
    <w:p>
      <w:pPr>
        <w:tabs>
          <w:tab w:val="center" w:pos="4475"/>
        </w:tabs>
        <w:spacing w:line="560" w:lineRule="exact"/>
        <w:ind w:firstLine="645"/>
        <w:rPr>
          <w:rFonts w:hint="eastAsia" w:ascii="仿宋_GB2312" w:hAnsi="宋体"/>
          <w:szCs w:val="32"/>
        </w:rPr>
      </w:pPr>
      <w:r>
        <w:rPr>
          <w:rFonts w:hint="eastAsia" w:ascii="仿宋_GB2312" w:hAnsi="宋体"/>
          <w:szCs w:val="32"/>
        </w:rPr>
        <w:t>三、部门支出总体情况表（表3）</w:t>
      </w:r>
    </w:p>
    <w:p>
      <w:pPr>
        <w:tabs>
          <w:tab w:val="center" w:pos="4475"/>
        </w:tabs>
        <w:spacing w:line="560" w:lineRule="exact"/>
        <w:ind w:firstLine="645"/>
        <w:rPr>
          <w:rFonts w:hint="eastAsia" w:ascii="仿宋_GB2312" w:hAnsi="宋体"/>
          <w:szCs w:val="32"/>
        </w:rPr>
      </w:pPr>
      <w:r>
        <w:rPr>
          <w:rFonts w:hint="eastAsia" w:ascii="仿宋_GB2312" w:hAnsi="宋体"/>
          <w:szCs w:val="32"/>
        </w:rPr>
        <w:t>四、财政拨款收支总体情况表（表4）</w:t>
      </w:r>
    </w:p>
    <w:p>
      <w:pPr>
        <w:tabs>
          <w:tab w:val="center" w:pos="4475"/>
        </w:tabs>
        <w:spacing w:line="560" w:lineRule="exact"/>
        <w:ind w:firstLine="645"/>
        <w:rPr>
          <w:rFonts w:hint="eastAsia" w:ascii="仿宋_GB2312" w:hAnsi="宋体"/>
          <w:szCs w:val="32"/>
        </w:rPr>
      </w:pPr>
      <w:r>
        <w:rPr>
          <w:rFonts w:hint="eastAsia" w:ascii="仿宋_GB2312" w:hAnsi="宋体"/>
          <w:szCs w:val="32"/>
        </w:rPr>
        <w:t>五、一般公共预算支出情况表（表5）</w:t>
      </w:r>
    </w:p>
    <w:p>
      <w:pPr>
        <w:tabs>
          <w:tab w:val="center" w:pos="4475"/>
        </w:tabs>
        <w:spacing w:line="560" w:lineRule="exact"/>
        <w:ind w:firstLine="645"/>
        <w:rPr>
          <w:rFonts w:hint="eastAsia" w:ascii="仿宋_GB2312" w:hAnsi="宋体"/>
          <w:szCs w:val="32"/>
        </w:rPr>
      </w:pPr>
      <w:r>
        <w:rPr>
          <w:rFonts w:hint="eastAsia" w:ascii="仿宋_GB2312" w:hAnsi="宋体"/>
          <w:szCs w:val="32"/>
        </w:rPr>
        <w:t>六、一般公共预算基本支出情况表（表6）</w:t>
      </w:r>
    </w:p>
    <w:p>
      <w:pPr>
        <w:tabs>
          <w:tab w:val="center" w:pos="4475"/>
        </w:tabs>
        <w:spacing w:line="560" w:lineRule="exact"/>
        <w:ind w:firstLine="645"/>
        <w:rPr>
          <w:rFonts w:hint="eastAsia" w:ascii="仿宋_GB2312" w:hAnsi="宋体"/>
          <w:szCs w:val="32"/>
        </w:rPr>
      </w:pPr>
      <w:r>
        <w:rPr>
          <w:rFonts w:hint="eastAsia" w:ascii="仿宋_GB2312" w:hAnsi="宋体"/>
          <w:szCs w:val="32"/>
        </w:rPr>
        <w:t>七、一般公共预算“三公”经费支出情况表（表7）</w:t>
      </w:r>
    </w:p>
    <w:p>
      <w:pPr>
        <w:tabs>
          <w:tab w:val="center" w:pos="4475"/>
        </w:tabs>
        <w:spacing w:line="560" w:lineRule="exact"/>
        <w:ind w:firstLine="645"/>
        <w:rPr>
          <w:rFonts w:hint="eastAsia" w:ascii="仿宋_GB2312" w:hAnsi="宋体"/>
          <w:szCs w:val="32"/>
        </w:rPr>
      </w:pPr>
      <w:r>
        <w:rPr>
          <w:rFonts w:hint="eastAsia" w:ascii="仿宋_GB2312" w:hAnsi="宋体"/>
          <w:szCs w:val="32"/>
        </w:rPr>
        <w:t>八、政府性基金预算支出情况表（表8）</w:t>
      </w:r>
    </w:p>
    <w:p>
      <w:pPr>
        <w:tabs>
          <w:tab w:val="center" w:pos="4475"/>
        </w:tabs>
        <w:spacing w:line="560" w:lineRule="exact"/>
        <w:ind w:firstLine="645"/>
        <w:rPr>
          <w:rFonts w:hint="eastAsia" w:ascii="仿宋_GB2312" w:hAnsi="宋体"/>
          <w:szCs w:val="32"/>
        </w:rPr>
      </w:pPr>
      <w:r>
        <w:rPr>
          <w:rFonts w:hint="eastAsia" w:ascii="仿宋_GB2312" w:hAnsi="宋体"/>
          <w:szCs w:val="32"/>
        </w:rPr>
        <w:t>九、国有资本经营预算支出表（表9）</w:t>
      </w:r>
    </w:p>
    <w:p>
      <w:pPr>
        <w:tabs>
          <w:tab w:val="center" w:pos="4475"/>
        </w:tabs>
        <w:spacing w:line="560" w:lineRule="exact"/>
        <w:ind w:firstLine="645"/>
        <w:rPr>
          <w:rFonts w:hint="eastAsia" w:ascii="仿宋_GB2312" w:hAnsi="宋体"/>
          <w:szCs w:val="32"/>
        </w:rPr>
      </w:pPr>
      <w:r>
        <w:rPr>
          <w:rFonts w:hint="eastAsia" w:ascii="仿宋_GB2312" w:hAnsi="宋体"/>
          <w:szCs w:val="32"/>
        </w:rPr>
        <w:t>十、政府采购预算表（表10）</w:t>
      </w:r>
    </w:p>
    <w:p>
      <w:pPr>
        <w:tabs>
          <w:tab w:val="center" w:pos="4475"/>
        </w:tabs>
        <w:spacing w:line="560" w:lineRule="exact"/>
        <w:ind w:firstLine="645"/>
        <w:rPr>
          <w:rFonts w:hint="eastAsia" w:ascii="仿宋_GB2312" w:hAnsi="宋体"/>
          <w:szCs w:val="32"/>
        </w:rPr>
      </w:pPr>
      <w:r>
        <w:rPr>
          <w:rFonts w:hint="eastAsia" w:ascii="仿宋_GB2312" w:hAnsi="宋体"/>
          <w:szCs w:val="32"/>
        </w:rPr>
        <w:t>十一、部门预算支出经济分类表（表11）</w:t>
      </w:r>
    </w:p>
    <w:p>
      <w:pPr>
        <w:tabs>
          <w:tab w:val="center" w:pos="4475"/>
        </w:tabs>
        <w:spacing w:line="560" w:lineRule="exact"/>
        <w:ind w:firstLine="645"/>
        <w:rPr>
          <w:rFonts w:hint="eastAsia" w:ascii="仿宋_GB2312" w:hAnsi="宋体"/>
          <w:szCs w:val="32"/>
        </w:rPr>
      </w:pPr>
      <w:r>
        <w:rPr>
          <w:rFonts w:hint="eastAsia" w:ascii="仿宋_GB2312" w:hAnsi="宋体"/>
          <w:szCs w:val="32"/>
        </w:rPr>
        <w:t>十二、政府预算支出经济分类表（表12）</w:t>
      </w:r>
    </w:p>
    <w:p>
      <w:pPr>
        <w:tabs>
          <w:tab w:val="center" w:pos="4475"/>
        </w:tabs>
        <w:spacing w:line="560" w:lineRule="exact"/>
        <w:ind w:firstLine="645"/>
        <w:rPr>
          <w:rFonts w:hint="eastAsia" w:ascii="仿宋_GB2312" w:hAnsi="宋体"/>
          <w:szCs w:val="32"/>
        </w:rPr>
      </w:pPr>
      <w:r>
        <w:rPr>
          <w:rFonts w:hint="eastAsia" w:ascii="仿宋_GB2312" w:hAnsi="宋体"/>
          <w:szCs w:val="32"/>
        </w:rPr>
        <w:t>十三、项目支出（部门预算）绩效目标申报表（表13）</w:t>
      </w:r>
    </w:p>
    <w:p>
      <w:pPr>
        <w:tabs>
          <w:tab w:val="center" w:pos="4475"/>
        </w:tabs>
        <w:spacing w:line="560" w:lineRule="exact"/>
        <w:ind w:firstLine="645"/>
        <w:rPr>
          <w:rFonts w:hint="eastAsia" w:ascii="仿宋_GB2312" w:hAnsi="宋体"/>
          <w:szCs w:val="32"/>
        </w:rPr>
      </w:pPr>
      <w:r>
        <w:rPr>
          <w:rFonts w:hint="eastAsia" w:ascii="仿宋_GB2312" w:hAnsi="宋体"/>
          <w:szCs w:val="32"/>
        </w:rPr>
        <w:t>上述报表详见附件。</w:t>
      </w:r>
    </w:p>
    <w:p>
      <w:pPr>
        <w:tabs>
          <w:tab w:val="center" w:pos="4475"/>
        </w:tabs>
        <w:spacing w:line="560" w:lineRule="exact"/>
        <w:ind w:firstLine="645"/>
        <w:rPr>
          <w:rFonts w:hint="eastAsia" w:ascii="仿宋_GB2312" w:hAnsi="宋体"/>
          <w:szCs w:val="32"/>
        </w:rPr>
      </w:pPr>
      <w:r>
        <w:rPr>
          <w:rFonts w:hint="eastAsia" w:ascii="仿宋_GB2312" w:hAnsi="宋体"/>
          <w:szCs w:val="32"/>
        </w:rPr>
        <w:fldChar w:fldCharType="begin"/>
      </w:r>
      <w:r>
        <w:rPr>
          <w:rFonts w:hint="eastAsia" w:ascii="仿宋_GB2312" w:hAnsi="宋体"/>
          <w:szCs w:val="32"/>
        </w:rPr>
        <w:instrText xml:space="preserve"> HYPERLINK "（兴安三中）2025年部门预算报表（财政审核）（桂林市本级预算公开表）_2025-03-14 (1).xls" </w:instrText>
      </w:r>
      <w:r>
        <w:rPr>
          <w:rFonts w:hint="eastAsia" w:ascii="仿宋_GB2312" w:hAnsi="宋体"/>
          <w:szCs w:val="32"/>
        </w:rPr>
        <w:fldChar w:fldCharType="separate"/>
      </w:r>
      <w:r>
        <w:rPr>
          <w:rStyle w:val="7"/>
          <w:rFonts w:hint="eastAsia" w:ascii="仿宋_GB2312" w:hAnsi="宋体"/>
          <w:szCs w:val="32"/>
        </w:rPr>
        <w:t>（兴安三中）2025年部门预算报表（财政审核）（桂林市本级预算公开表）_2025-03-14 (1).xls</w:t>
      </w:r>
      <w:r>
        <w:rPr>
          <w:rFonts w:hint="eastAsia" w:ascii="仿宋_GB2312" w:hAnsi="宋体"/>
          <w:szCs w:val="32"/>
        </w:rPr>
        <w:fldChar w:fldCharType="end"/>
      </w:r>
    </w:p>
    <w:p>
      <w:pPr>
        <w:tabs>
          <w:tab w:val="center" w:pos="4475"/>
        </w:tabs>
        <w:spacing w:line="560" w:lineRule="exact"/>
        <w:ind w:firstLine="645"/>
        <w:rPr>
          <w:rFonts w:hint="eastAsia" w:ascii="仿宋_GB2312" w:hAnsi="宋体"/>
          <w:szCs w:val="32"/>
        </w:rPr>
      </w:pPr>
    </w:p>
    <w:p>
      <w:pPr>
        <w:tabs>
          <w:tab w:val="center" w:pos="4475"/>
        </w:tabs>
        <w:spacing w:line="560" w:lineRule="exact"/>
        <w:rPr>
          <w:rFonts w:hint="eastAsia" w:ascii="仿宋_GB2312" w:hAnsi="宋体"/>
          <w:szCs w:val="32"/>
        </w:rPr>
      </w:pPr>
    </w:p>
    <w:p/>
    <w:p/>
    <w:p/>
    <w:p>
      <w:pPr>
        <w:rPr>
          <w:rFonts w:hint="eastAsia"/>
          <w:lang w:val="en-US" w:eastAsia="zh-CN"/>
        </w:rPr>
      </w:pPr>
      <w:r>
        <w:rPr>
          <w:rFonts w:hint="eastAsia"/>
          <w:lang w:val="en-US" w:eastAsia="zh-CN"/>
        </w:rPr>
        <w:t xml:space="preserve">                              兴安县第三中学</w:t>
      </w:r>
    </w:p>
    <w:p>
      <w:pPr>
        <w:rPr>
          <w:rFonts w:hint="default"/>
          <w:lang w:val="en-US" w:eastAsia="zh-CN"/>
        </w:rPr>
      </w:pPr>
      <w:r>
        <w:rPr>
          <w:rFonts w:hint="eastAsia"/>
          <w:lang w:val="en-US" w:eastAsia="zh-CN"/>
        </w:rPr>
        <w:t xml:space="preserve">                             2025年3月14日</w:t>
      </w:r>
    </w:p>
    <w:sectPr>
      <w:footerReference r:id="rId3" w:type="default"/>
      <w:footerReference r:id="rId4" w:type="even"/>
      <w:pgSz w:w="11906" w:h="16838"/>
      <w:pgMar w:top="1871" w:right="1474" w:bottom="1814" w:left="1587" w:header="851" w:footer="992" w:gutter="0"/>
      <w:pgNumType w:fmt="decimal" w:start="18"/>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6617C"/>
    <w:multiLevelType w:val="singleLevel"/>
    <w:tmpl w:val="3716617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224F3"/>
    <w:rsid w:val="227622C8"/>
    <w:rsid w:val="33801883"/>
    <w:rsid w:val="39863B66"/>
    <w:rsid w:val="48FC5BBF"/>
    <w:rsid w:val="5C796F3C"/>
    <w:rsid w:val="6985092D"/>
    <w:rsid w:val="6DBB19D0"/>
    <w:rsid w:val="752306C4"/>
    <w:rsid w:val="7B02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3028</Words>
  <Characters>3168</Characters>
  <Lines>0</Lines>
  <Paragraphs>0</Paragraphs>
  <TotalTime>0</TotalTime>
  <ScaleCrop>false</ScaleCrop>
  <LinksUpToDate>false</LinksUpToDate>
  <CharactersWithSpaces>3184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2025-03-14T04:57:00Z</dcterms:created>
  <dc:creator>阿布</dc:creator>
  <cp:lastModifiedBy>Biscuit</cp:lastModifiedBy>
  <dcterms:modified xsi:type="dcterms:W3CDTF">2025-03-18T08:51:17Z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02EC03C2FD8F4D069ECC5DD06608F1E0_11</vt:lpwstr>
  </property>
  <property fmtid="{D5CDD505-2E9C-101B-9397-08002B2CF9AE}" pid="4" name="KSOTemplateDocerSaveRecord">
    <vt:lpwstr>eyJoZGlkIjoiZGRlOTcxNjRmOThmOWUzNWYzMmQ3YTlkNDFkZTQyNjEiLCJ1c2VySWQiOiIxOTU0NjMxMzIifQ==</vt:lpwstr>
  </property>
</Properties>
</file>