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883"/>
        <w:jc w:val="center"/>
        <w:rPr>
          <w:rFonts w:hint="default" w:ascii="Times New Roman" w:hAnsi="Times New Roman" w:eastAsia="黑体" w:cs="Times New Roman"/>
          <w:b/>
          <w:sz w:val="44"/>
        </w:rPr>
      </w:pPr>
    </w:p>
    <w:p>
      <w:pPr>
        <w:ind w:firstLine="0" w:firstLineChars="0"/>
        <w:jc w:val="center"/>
        <w:rPr>
          <w:rFonts w:hint="default" w:ascii="Times New Roman" w:hAnsi="Times New Roman" w:eastAsia="方正小标宋_GBK" w:cs="Times New Roman"/>
          <w:b/>
          <w:sz w:val="44"/>
          <w:szCs w:val="44"/>
        </w:rPr>
      </w:pPr>
      <w:bookmarkStart w:id="0" w:name="_Hlk151736368"/>
      <w:r>
        <w:rPr>
          <w:rFonts w:hint="default" w:ascii="Times New Roman" w:hAnsi="Times New Roman" w:eastAsia="方正小标宋_GBK" w:cs="Times New Roman"/>
          <w:b/>
          <w:sz w:val="44"/>
          <w:szCs w:val="44"/>
        </w:rPr>
        <w:t>兴安县国家生态文明建设示范区</w:t>
      </w:r>
    </w:p>
    <w:p>
      <w:pPr>
        <w:ind w:firstLine="0" w:firstLineChars="0"/>
        <w:jc w:val="center"/>
        <w:rPr>
          <w:rFonts w:hint="default" w:ascii="Times New Roman" w:hAnsi="Times New Roman" w:eastAsia="黑体" w:cs="Times New Roman"/>
          <w:b/>
          <w:sz w:val="44"/>
          <w:szCs w:val="44"/>
        </w:rPr>
      </w:pPr>
      <w:r>
        <w:rPr>
          <w:rFonts w:hint="default" w:ascii="Times New Roman" w:hAnsi="Times New Roman" w:eastAsia="方正小标宋_GBK" w:cs="Times New Roman"/>
          <w:b/>
          <w:sz w:val="44"/>
          <w:szCs w:val="44"/>
        </w:rPr>
        <w:t>规划</w:t>
      </w:r>
      <w:bookmarkStart w:id="1" w:name="_Hlk117677457"/>
      <w:r>
        <w:rPr>
          <w:rFonts w:hint="default" w:ascii="Times New Roman" w:hAnsi="Times New Roman" w:eastAsia="方正小标宋_GBK" w:cs="Times New Roman"/>
          <w:b/>
          <w:sz w:val="44"/>
          <w:szCs w:val="44"/>
        </w:rPr>
        <w:t>（2023—2030年）</w:t>
      </w:r>
    </w:p>
    <w:bookmarkEnd w:id="1"/>
    <w:p>
      <w:pPr>
        <w:ind w:firstLine="964"/>
        <w:jc w:val="center"/>
        <w:rPr>
          <w:rFonts w:hint="default" w:ascii="Times New Roman" w:hAnsi="Times New Roman" w:eastAsia="黑体" w:cs="Times New Roman"/>
          <w:b/>
          <w:sz w:val="48"/>
          <w:szCs w:val="48"/>
        </w:rPr>
      </w:pPr>
    </w:p>
    <w:p>
      <w:pPr>
        <w:ind w:firstLine="0" w:firstLineChars="0"/>
        <w:jc w:val="center"/>
        <w:rPr>
          <w:rFonts w:hint="default" w:ascii="Times New Roman" w:hAnsi="Times New Roman" w:eastAsia="黑体" w:cs="Times New Roman"/>
          <w:b/>
          <w:sz w:val="48"/>
          <w:szCs w:val="48"/>
        </w:rPr>
      </w:pPr>
    </w:p>
    <w:p>
      <w:pPr>
        <w:ind w:firstLine="0" w:firstLineChars="0"/>
        <w:jc w:val="center"/>
        <w:rPr>
          <w:rFonts w:hint="default" w:ascii="Times New Roman" w:hAnsi="Times New Roman" w:eastAsia="黑体" w:cs="Times New Roman"/>
          <w:b/>
          <w:sz w:val="44"/>
        </w:rPr>
      </w:pPr>
    </w:p>
    <w:p>
      <w:pPr>
        <w:ind w:firstLine="0" w:firstLineChars="0"/>
        <w:jc w:val="center"/>
        <w:rPr>
          <w:rFonts w:hint="default" w:ascii="Times New Roman" w:hAnsi="Times New Roman" w:eastAsia="黑体" w:cs="Times New Roman"/>
          <w:b/>
          <w:sz w:val="44"/>
        </w:rPr>
      </w:pPr>
      <w:r>
        <w:rPr>
          <w:rFonts w:hint="default" w:ascii="Times New Roman" w:hAnsi="Times New Roman" w:cs="Times New Roman"/>
        </w:rPr>
        <w:drawing>
          <wp:inline distT="0" distB="0" distL="114300" distR="114300">
            <wp:extent cx="5271135" cy="3763645"/>
            <wp:effectExtent l="0" t="0" r="1206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1135" cy="3763645"/>
                    </a:xfrm>
                    <a:prstGeom prst="rect">
                      <a:avLst/>
                    </a:prstGeom>
                    <a:noFill/>
                    <a:ln>
                      <a:noFill/>
                    </a:ln>
                  </pic:spPr>
                </pic:pic>
              </a:graphicData>
            </a:graphic>
          </wp:inline>
        </w:drawing>
      </w:r>
    </w:p>
    <w:p>
      <w:pPr>
        <w:pStyle w:val="11"/>
        <w:ind w:firstLine="360"/>
        <w:rPr>
          <w:rFonts w:hint="default" w:ascii="Times New Roman" w:hAnsi="Times New Roman" w:cs="Times New Roman"/>
        </w:rPr>
      </w:pPr>
    </w:p>
    <w:p>
      <w:pPr>
        <w:spacing w:after="156" w:afterLines="50" w:line="480" w:lineRule="auto"/>
        <w:ind w:firstLine="0" w:firstLineChars="0"/>
        <w:jc w:val="center"/>
        <w:rPr>
          <w:rFonts w:hint="default" w:ascii="Times New Roman" w:hAnsi="Times New Roman" w:eastAsia="黑体" w:cs="Times New Roman"/>
          <w:b/>
          <w:sz w:val="32"/>
          <w:szCs w:val="32"/>
        </w:rPr>
      </w:pPr>
    </w:p>
    <w:p>
      <w:pPr>
        <w:spacing w:after="156" w:afterLines="50" w:line="480" w:lineRule="auto"/>
        <w:ind w:firstLine="0" w:firstLineChars="0"/>
        <w:jc w:val="center"/>
        <w:rPr>
          <w:rFonts w:hint="default" w:ascii="Times New Roman" w:hAnsi="Times New Roman" w:eastAsia="黑体" w:cs="Times New Roman"/>
          <w:b/>
          <w:sz w:val="36"/>
          <w:szCs w:val="36"/>
        </w:rPr>
      </w:pPr>
      <w:r>
        <w:rPr>
          <w:rFonts w:hint="default" w:ascii="Times New Roman" w:hAnsi="Times New Roman" w:eastAsia="黑体" w:cs="Times New Roman"/>
          <w:b/>
          <w:sz w:val="36"/>
          <w:szCs w:val="36"/>
        </w:rPr>
        <w:t>兴安县人民政府</w:t>
      </w:r>
    </w:p>
    <w:p>
      <w:pPr>
        <w:spacing w:after="156" w:afterLines="50" w:line="480" w:lineRule="auto"/>
        <w:ind w:firstLine="0" w:firstLineChars="0"/>
        <w:jc w:val="center"/>
        <w:rPr>
          <w:rFonts w:hint="default" w:ascii="Times New Roman" w:hAnsi="Times New Roman" w:eastAsia="黑体" w:cs="Times New Roman"/>
          <w:b/>
          <w:sz w:val="36"/>
          <w:szCs w:val="36"/>
        </w:rPr>
      </w:pPr>
      <w:r>
        <w:rPr>
          <w:rFonts w:hint="default" w:ascii="Times New Roman" w:hAnsi="Times New Roman" w:eastAsia="黑体" w:cs="Times New Roman"/>
          <w:b/>
          <w:sz w:val="36"/>
          <w:szCs w:val="36"/>
        </w:rPr>
        <w:t>二〇二三年十二月</w:t>
      </w:r>
    </w:p>
    <w:p>
      <w:pPr>
        <w:pStyle w:val="2"/>
        <w:rPr>
          <w:rFonts w:hint="default"/>
        </w:rPr>
      </w:pPr>
    </w:p>
    <w:bookmarkEnd w:id="0"/>
    <w:p>
      <w:pPr>
        <w:ind w:firstLine="0" w:firstLineChars="0"/>
        <w:rPr>
          <w:rFonts w:hint="default" w:ascii="Times New Roman" w:hAnsi="Times New Roman" w:cs="Times New Roman"/>
        </w:rPr>
      </w:pPr>
    </w:p>
    <w:p>
      <w:pPr>
        <w:ind w:firstLine="0" w:firstLineChars="0"/>
        <w:rPr>
          <w:rFonts w:hint="default" w:ascii="Times New Roman" w:hAnsi="Times New Roman"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pPr>
        <w:ind w:firstLine="0" w:firstLineChars="0"/>
        <w:jc w:val="center"/>
        <w:rPr>
          <w:rFonts w:hint="default" w:ascii="Times New Roman" w:hAnsi="Times New Roman" w:eastAsia="方正小标宋_GBK" w:cs="Times New Roman"/>
          <w:b/>
          <w:bCs/>
          <w:sz w:val="36"/>
          <w:szCs w:val="36"/>
        </w:rPr>
      </w:pPr>
      <w:bookmarkStart w:id="2" w:name="_Toc148253455"/>
      <w:bookmarkStart w:id="3" w:name="_Toc151734528"/>
      <w:r>
        <w:rPr>
          <w:rFonts w:hint="default" w:ascii="Times New Roman" w:hAnsi="Times New Roman" w:eastAsia="方正小标宋_GBK" w:cs="Times New Roman"/>
          <w:b w:val="0"/>
          <w:bCs w:val="0"/>
          <w:sz w:val="44"/>
          <w:szCs w:val="44"/>
        </w:rPr>
        <w:t>前 言</w:t>
      </w:r>
      <w:bookmarkEnd w:id="2"/>
      <w:bookmarkEnd w:id="3"/>
    </w:p>
    <w:p>
      <w:pPr>
        <w:ind w:firstLine="480"/>
        <w:rPr>
          <w:rFonts w:hint="default" w:ascii="Times New Roman" w:hAnsi="Times New Roman" w:eastAsia="仿宋" w:cs="Times New Roman"/>
          <w:sz w:val="24"/>
          <w:szCs w:val="24"/>
        </w:rPr>
      </w:pPr>
    </w:p>
    <w:p>
      <w:pPr>
        <w:keepNext w:val="0"/>
        <w:keepLines w:val="0"/>
        <w:pageBreakBefore w:val="0"/>
        <w:widowControl w:val="0"/>
        <w:kinsoku/>
        <w:wordWrap/>
        <w:overflowPunct/>
        <w:topLinePunct w:val="0"/>
        <w:autoSpaceDE/>
        <w:autoSpaceDN/>
        <w:bidi w:val="0"/>
        <w:adjustRightInd/>
        <w:snapToGrid/>
        <w:spacing w:line="546" w:lineRule="exact"/>
        <w:ind w:firstLine="56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生态文明是以可持续发展为特征、以循环经济和生态服务为标志，集竞生、共生、再生、自生机制于一体的高级文明形态。生态文明社会是以更新人的观念、调节人际关系、引导人的行为、提高人的素质为抓手，通过观念更新、体制革新、技术创新和能力建设带动整体社会品质的升华和文化的彰显，推进社会的和谐进步、经济的高效运行、生态的良性循环和人与自然持续共生的可持续状态。</w:t>
      </w:r>
    </w:p>
    <w:p>
      <w:pPr>
        <w:keepNext w:val="0"/>
        <w:keepLines w:val="0"/>
        <w:pageBreakBefore w:val="0"/>
        <w:widowControl w:val="0"/>
        <w:kinsoku/>
        <w:wordWrap/>
        <w:overflowPunct/>
        <w:topLinePunct w:val="0"/>
        <w:autoSpaceDE/>
        <w:autoSpaceDN/>
        <w:bidi w:val="0"/>
        <w:adjustRightInd/>
        <w:snapToGrid/>
        <w:spacing w:line="546" w:lineRule="exact"/>
        <w:ind w:firstLine="56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生态环境关乎民族未来、百姓福祉。党的十八大报告作出“大力推进生态文明建设”的战略部署，要求把生态文明建设放在突出地位，融入经济建设、政治建设、文化建设、社会建设各方面和全过程，努力建设美丽中国，实现中华民族永续发展。习近平总书记在二十大报告中，就生态文明建设提出新论断，坚持人与自然和谐共生成为新时代坚持和发展中国特色社会主义的基本方略重要组成部分；在2023年全国生态环境保护大会重要讲话中强调“加强生态环境保护，全面推进美丽中国建设”的理念，同时指出，我们要建设的现代化是人与自然和谐共生的现代化，既要创造更多物质财富和精神财富以满足人民日益增长的美好生活需要，也要提供更多优质生态产品以满足人民日益增长的优美生态环境需要。必须坚持节约优先、保护优先、自然恢复为主的方针，形成节约资源和保护环境的空间格局、产业结构、生产方式、生活方式，还自然以宁静、和谐、美丽。</w:t>
      </w:r>
    </w:p>
    <w:p>
      <w:pPr>
        <w:keepNext w:val="0"/>
        <w:keepLines w:val="0"/>
        <w:pageBreakBefore w:val="0"/>
        <w:widowControl w:val="0"/>
        <w:kinsoku/>
        <w:wordWrap/>
        <w:overflowPunct/>
        <w:topLinePunct w:val="0"/>
        <w:autoSpaceDE/>
        <w:autoSpaceDN/>
        <w:bidi w:val="0"/>
        <w:adjustRightInd/>
        <w:snapToGrid/>
        <w:spacing w:line="546" w:lineRule="exact"/>
        <w:ind w:firstLine="56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国家对生态文明建设发展提出的要求，广西壮族自治区党委、人民政府高度重视生态文明建设发展和生态环境保护，对广西生态文明建设发展提出“生态立区、生态兴区、生态强区”的发展战略，加快推进绿色、循环、低碳发展，以八桂大地山清水秀海碧天蓝生态优良环境优美，可持续发展能力显著增强为目标提出坚持生态立区绿色发展，把建设生态文明作为实现富民强桂的重要着力点。</w:t>
      </w:r>
    </w:p>
    <w:p>
      <w:pPr>
        <w:keepNext w:val="0"/>
        <w:keepLines w:val="0"/>
        <w:pageBreakBefore w:val="0"/>
        <w:widowControl w:val="0"/>
        <w:kinsoku/>
        <w:wordWrap/>
        <w:overflowPunct/>
        <w:topLinePunct w:val="0"/>
        <w:autoSpaceDE/>
        <w:autoSpaceDN/>
        <w:bidi w:val="0"/>
        <w:adjustRightInd/>
        <w:snapToGrid/>
        <w:spacing w:line="546" w:lineRule="exact"/>
        <w:ind w:firstLine="56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兴安县县委、县政府高度重视生态文明建设，始终把生态环境保护工作作为“一把手工程”，坚持以加强党的政治建设为统领，坚决贯彻党中央、国务院关于生态环境保护工作有关重大决策部署，落实自治区党委政府，桂林市委、市政府关于生态文明建设和生态环境保护工作要求。为贯彻落实党中央、国务院关于加快生态文明建设的有关决策部署，深入践行习近平生态文明思想，落实全国生态环境保护大会有关要求和工作部署，全面贯彻党的二十大精神，根据国家生态文明建设示范创建的相关要求以及兴安县生态文明建设实际需要，结合兴安县实际，编制《兴安县国家生态文明建设示范区规划（2023-2030年）》。</w:t>
      </w:r>
    </w:p>
    <w:p>
      <w:pPr>
        <w:keepNext w:val="0"/>
        <w:keepLines w:val="0"/>
        <w:pageBreakBefore w:val="0"/>
        <w:widowControl w:val="0"/>
        <w:kinsoku/>
        <w:wordWrap/>
        <w:overflowPunct/>
        <w:topLinePunct w:val="0"/>
        <w:autoSpaceDE/>
        <w:autoSpaceDN/>
        <w:bidi w:val="0"/>
        <w:adjustRightInd/>
        <w:snapToGrid/>
        <w:spacing w:line="546" w:lineRule="exact"/>
        <w:ind w:firstLine="56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规划》以习近平新时代中国特色社会主义思想为指导，在对兴安县生态文明建设现状优劣势和面临的机遇及挑战进行分析的基础上，提出了兴安县生态文明建设的目标、指标体系和主要任务，组织设计了一系列重点工程项目，制定了规划实施的保障措施，为兴安县</w:t>
      </w:r>
      <w:r>
        <w:rPr>
          <w:rFonts w:hint="default" w:ascii="Times New Roman" w:hAnsi="Times New Roman" w:eastAsia="仿宋_GB2312" w:cs="Times New Roman"/>
          <w:color w:val="auto"/>
          <w:sz w:val="32"/>
          <w:szCs w:val="32"/>
          <w:highlight w:val="none"/>
          <w:lang w:eastAsia="zh-CN"/>
        </w:rPr>
        <w:t>建设</w:t>
      </w:r>
      <w:r>
        <w:rPr>
          <w:rFonts w:hint="default" w:ascii="Times New Roman" w:hAnsi="Times New Roman" w:eastAsia="仿宋_GB2312" w:cs="Times New Roman"/>
          <w:sz w:val="32"/>
          <w:szCs w:val="32"/>
        </w:rPr>
        <w:t>国家生态文明示范区提供技术支撑。</w:t>
      </w:r>
    </w:p>
    <w:p>
      <w:pPr>
        <w:ind w:firstLine="480"/>
        <w:rPr>
          <w:rFonts w:hint="default" w:ascii="Times New Roman" w:hAnsi="Times New Roman" w:eastAsia="仿宋" w:cs="Times New Roman"/>
          <w:sz w:val="24"/>
          <w:szCs w:val="24"/>
        </w:rPr>
        <w:sectPr>
          <w:footerReference r:id="rId11" w:type="default"/>
          <w:pgSz w:w="11906" w:h="16838"/>
          <w:pgMar w:top="2098" w:right="1304" w:bottom="1304" w:left="1587" w:header="851" w:footer="1361" w:gutter="0"/>
          <w:pgNumType w:fmt="lowerRoman" w:start="1"/>
          <w:cols w:space="0" w:num="1"/>
          <w:rtlGutter w:val="0"/>
          <w:docGrid w:type="lines" w:linePitch="383" w:charSpace="0"/>
        </w:sectPr>
      </w:pPr>
    </w:p>
    <w:p>
      <w:pPr>
        <w:pStyle w:val="10"/>
        <w:ind w:left="0" w:leftChars="0" w:firstLine="0" w:firstLineChars="0"/>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b w:val="0"/>
          <w:bCs w:val="0"/>
          <w:sz w:val="44"/>
          <w:szCs w:val="44"/>
        </w:rPr>
        <w:t>目   录</w:t>
      </w:r>
    </w:p>
    <w:p>
      <w:pPr>
        <w:pStyle w:val="10"/>
        <w:ind w:firstLine="562"/>
        <w:rPr>
          <w:rFonts w:hint="default" w:ascii="Times New Roman" w:hAnsi="Times New Roman" w:cs="Times New Roman"/>
        </w:rPr>
      </w:pPr>
    </w:p>
    <w:p>
      <w:pPr>
        <w:pStyle w:val="10"/>
        <w:ind w:firstLine="562"/>
        <w:rPr>
          <w:rFonts w:hint="default" w:ascii="Times New Roman" w:hAnsi="Times New Roman" w:cs="Times New Roman" w:eastAsiaTheme="minorEastAsia"/>
          <w:b w:val="0"/>
          <w:bCs w:val="0"/>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TOC \o "1-2" \h \z \u </w:instrText>
      </w:r>
      <w:r>
        <w:rPr>
          <w:rFonts w:hint="default" w:ascii="Times New Roman" w:hAnsi="Times New Roman" w:cs="Times New Roman"/>
        </w:rPr>
        <w:fldChar w:fldCharType="separate"/>
      </w:r>
      <w:r>
        <w:rPr>
          <w:rFonts w:hint="default" w:ascii="Times New Roman" w:hAnsi="Times New Roman" w:eastAsia="黑体" w:cs="Times New Roman"/>
          <w:b w:val="0"/>
          <w:bCs w:val="0"/>
          <w:sz w:val="32"/>
          <w:szCs w:val="32"/>
        </w:rPr>
        <w:fldChar w:fldCharType="begin"/>
      </w:r>
      <w:r>
        <w:rPr>
          <w:rFonts w:hint="default" w:ascii="Times New Roman" w:hAnsi="Times New Roman" w:eastAsia="黑体" w:cs="Times New Roman"/>
          <w:b w:val="0"/>
          <w:bCs w:val="0"/>
          <w:sz w:val="32"/>
          <w:szCs w:val="32"/>
        </w:rPr>
        <w:instrText xml:space="preserve"> HYPERLINK \l "_Toc153528939" </w:instrText>
      </w:r>
      <w:r>
        <w:rPr>
          <w:rFonts w:hint="default" w:ascii="Times New Roman" w:hAnsi="Times New Roman" w:eastAsia="黑体" w:cs="Times New Roman"/>
          <w:b w:val="0"/>
          <w:bCs w:val="0"/>
          <w:sz w:val="32"/>
          <w:szCs w:val="32"/>
        </w:rPr>
        <w:fldChar w:fldCharType="separate"/>
      </w:r>
      <w:r>
        <w:rPr>
          <w:rStyle w:val="18"/>
          <w:rFonts w:hint="default" w:ascii="Times New Roman" w:hAnsi="Times New Roman" w:eastAsia="黑体" w:cs="Times New Roman"/>
          <w:b w:val="0"/>
          <w:bCs w:val="0"/>
          <w:sz w:val="32"/>
          <w:szCs w:val="32"/>
        </w:rPr>
        <w:t>第一章 工作基础与形势分析</w:t>
      </w:r>
      <w:r>
        <w:rPr>
          <w:rFonts w:hint="default" w:ascii="Times New Roman" w:hAnsi="Times New Roman" w:eastAsia="黑体" w:cs="Times New Roman"/>
          <w:b w:val="0"/>
          <w:bCs w:val="0"/>
          <w:sz w:val="32"/>
          <w:szCs w:val="32"/>
        </w:rPr>
        <w:tab/>
      </w:r>
      <w:r>
        <w:rPr>
          <w:rFonts w:hint="default" w:ascii="Times New Roman" w:hAnsi="Times New Roman" w:eastAsia="黑体" w:cs="Times New Roman"/>
          <w:b w:val="0"/>
          <w:bCs w:val="0"/>
          <w:sz w:val="32"/>
          <w:szCs w:val="32"/>
        </w:rPr>
        <w:fldChar w:fldCharType="begin"/>
      </w:r>
      <w:r>
        <w:rPr>
          <w:rFonts w:hint="default" w:ascii="Times New Roman" w:hAnsi="Times New Roman" w:eastAsia="黑体" w:cs="Times New Roman"/>
          <w:b w:val="0"/>
          <w:bCs w:val="0"/>
          <w:sz w:val="32"/>
          <w:szCs w:val="32"/>
        </w:rPr>
        <w:instrText xml:space="preserve"> PAGEREF _Toc153528939 \h </w:instrText>
      </w:r>
      <w:r>
        <w:rPr>
          <w:rFonts w:hint="default" w:ascii="Times New Roman" w:hAnsi="Times New Roman" w:eastAsia="黑体" w:cs="Times New Roman"/>
          <w:b w:val="0"/>
          <w:bCs w:val="0"/>
          <w:sz w:val="32"/>
          <w:szCs w:val="32"/>
        </w:rPr>
        <w:fldChar w:fldCharType="separate"/>
      </w:r>
      <w:r>
        <w:rPr>
          <w:rFonts w:hint="default" w:ascii="Times New Roman" w:hAnsi="Times New Roman" w:eastAsia="黑体" w:cs="Times New Roman"/>
          <w:b w:val="0"/>
          <w:bCs w:val="0"/>
          <w:sz w:val="32"/>
          <w:szCs w:val="32"/>
        </w:rPr>
        <w:t>1</w:t>
      </w:r>
      <w:r>
        <w:rPr>
          <w:rFonts w:hint="default" w:ascii="Times New Roman" w:hAnsi="Times New Roman" w:eastAsia="黑体" w:cs="Times New Roman"/>
          <w:b w:val="0"/>
          <w:bCs w:val="0"/>
          <w:sz w:val="32"/>
          <w:szCs w:val="32"/>
        </w:rPr>
        <w:fldChar w:fldCharType="end"/>
      </w:r>
      <w:r>
        <w:rPr>
          <w:rFonts w:hint="default" w:ascii="Times New Roman" w:hAnsi="Times New Roman" w:eastAsia="黑体" w:cs="Times New Roman"/>
          <w:b w:val="0"/>
          <w:bCs w:val="0"/>
          <w:sz w:val="32"/>
          <w:szCs w:val="32"/>
        </w:rPr>
        <w:fldChar w:fldCharType="end"/>
      </w:r>
    </w:p>
    <w:p>
      <w:pPr>
        <w:pStyle w:val="12"/>
        <w:tabs>
          <w:tab w:val="right" w:leader="dot" w:pos="8296"/>
        </w:tabs>
        <w:ind w:left="560"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"_Toc153528940" </w:instrText>
      </w:r>
      <w:r>
        <w:rPr>
          <w:rFonts w:hint="default" w:ascii="Times New Roman" w:hAnsi="Times New Roman" w:eastAsia="仿宋_GB2312" w:cs="Times New Roman"/>
          <w:sz w:val="28"/>
          <w:szCs w:val="28"/>
        </w:rPr>
        <w:fldChar w:fldCharType="separate"/>
      </w:r>
      <w:r>
        <w:rPr>
          <w:rStyle w:val="18"/>
          <w:rFonts w:hint="default" w:ascii="Times New Roman" w:hAnsi="Times New Roman" w:eastAsia="仿宋_GB2312" w:cs="Times New Roman"/>
          <w:sz w:val="28"/>
          <w:szCs w:val="28"/>
        </w:rPr>
        <w:t>第一节 区域概况</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_Toc153528940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12"/>
        <w:tabs>
          <w:tab w:val="right" w:leader="dot" w:pos="8296"/>
        </w:tabs>
        <w:ind w:left="560"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"_Toc153528941" </w:instrText>
      </w:r>
      <w:r>
        <w:rPr>
          <w:rFonts w:hint="default" w:ascii="Times New Roman" w:hAnsi="Times New Roman" w:eastAsia="仿宋_GB2312" w:cs="Times New Roman"/>
          <w:sz w:val="28"/>
          <w:szCs w:val="28"/>
        </w:rPr>
        <w:fldChar w:fldCharType="separate"/>
      </w:r>
      <w:r>
        <w:rPr>
          <w:rStyle w:val="18"/>
          <w:rFonts w:hint="default" w:ascii="Times New Roman" w:hAnsi="Times New Roman" w:eastAsia="仿宋_GB2312" w:cs="Times New Roman"/>
          <w:sz w:val="28"/>
          <w:szCs w:val="28"/>
        </w:rPr>
        <w:t>第二节 建设基础</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_Toc153528941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12"/>
        <w:tabs>
          <w:tab w:val="right" w:leader="dot" w:pos="8296"/>
        </w:tabs>
        <w:ind w:left="560"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"_Toc153528942" </w:instrText>
      </w:r>
      <w:r>
        <w:rPr>
          <w:rFonts w:hint="default" w:ascii="Times New Roman" w:hAnsi="Times New Roman" w:eastAsia="仿宋_GB2312" w:cs="Times New Roman"/>
          <w:sz w:val="28"/>
          <w:szCs w:val="28"/>
        </w:rPr>
        <w:fldChar w:fldCharType="separate"/>
      </w:r>
      <w:r>
        <w:rPr>
          <w:rStyle w:val="18"/>
          <w:rFonts w:hint="default" w:ascii="Times New Roman" w:hAnsi="Times New Roman" w:eastAsia="仿宋_GB2312" w:cs="Times New Roman"/>
          <w:sz w:val="28"/>
          <w:szCs w:val="28"/>
        </w:rPr>
        <w:t>第三节 存在问题</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_Toc153528942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12"/>
        <w:tabs>
          <w:tab w:val="right" w:leader="dot" w:pos="8296"/>
        </w:tabs>
        <w:ind w:left="560"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"_Toc153528943" </w:instrText>
      </w:r>
      <w:r>
        <w:rPr>
          <w:rFonts w:hint="default" w:ascii="Times New Roman" w:hAnsi="Times New Roman" w:eastAsia="仿宋_GB2312" w:cs="Times New Roman"/>
          <w:sz w:val="28"/>
          <w:szCs w:val="28"/>
        </w:rPr>
        <w:fldChar w:fldCharType="separate"/>
      </w:r>
      <w:r>
        <w:rPr>
          <w:rStyle w:val="18"/>
          <w:rFonts w:hint="default" w:ascii="Times New Roman" w:hAnsi="Times New Roman" w:eastAsia="仿宋_GB2312" w:cs="Times New Roman"/>
          <w:sz w:val="28"/>
          <w:szCs w:val="28"/>
        </w:rPr>
        <w:t>第四节 压力分析</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_Toc153528943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12"/>
        <w:tabs>
          <w:tab w:val="right" w:leader="dot" w:pos="8296"/>
        </w:tabs>
        <w:ind w:left="560"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"_Toc153528944" </w:instrText>
      </w:r>
      <w:r>
        <w:rPr>
          <w:rFonts w:hint="default" w:ascii="Times New Roman" w:hAnsi="Times New Roman" w:eastAsia="仿宋_GB2312" w:cs="Times New Roman"/>
          <w:sz w:val="28"/>
          <w:szCs w:val="28"/>
        </w:rPr>
        <w:fldChar w:fldCharType="separate"/>
      </w:r>
      <w:r>
        <w:rPr>
          <w:rStyle w:val="18"/>
          <w:rFonts w:hint="default" w:ascii="Times New Roman" w:hAnsi="Times New Roman" w:eastAsia="仿宋_GB2312" w:cs="Times New Roman"/>
          <w:sz w:val="28"/>
          <w:szCs w:val="28"/>
        </w:rPr>
        <w:t>第五节 机遇挑战</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_Toc153528944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10"/>
        <w:ind w:firstLine="562"/>
        <w:rPr>
          <w:rFonts w:hint="default" w:ascii="Times New Roman" w:hAnsi="Times New Roman" w:eastAsia="黑体" w:cs="Times New Roman"/>
          <w:b w:val="0"/>
          <w:bCs w:val="0"/>
          <w:sz w:val="32"/>
          <w:szCs w:val="32"/>
        </w:rPr>
      </w:pPr>
      <w:r>
        <w:rPr>
          <w:rFonts w:hint="default" w:ascii="Times New Roman" w:hAnsi="Times New Roman" w:eastAsia="黑体" w:cs="Times New Roman"/>
          <w:b w:val="0"/>
          <w:bCs w:val="0"/>
          <w:sz w:val="32"/>
          <w:szCs w:val="32"/>
        </w:rPr>
        <w:fldChar w:fldCharType="begin"/>
      </w:r>
      <w:r>
        <w:rPr>
          <w:rFonts w:hint="default" w:ascii="Times New Roman" w:hAnsi="Times New Roman" w:eastAsia="黑体" w:cs="Times New Roman"/>
          <w:b w:val="0"/>
          <w:bCs w:val="0"/>
          <w:sz w:val="32"/>
          <w:szCs w:val="32"/>
        </w:rPr>
        <w:instrText xml:space="preserve"> HYPERLINK \l "_Toc153528945" </w:instrText>
      </w:r>
      <w:r>
        <w:rPr>
          <w:rFonts w:hint="default" w:ascii="Times New Roman" w:hAnsi="Times New Roman" w:eastAsia="黑体" w:cs="Times New Roman"/>
          <w:b w:val="0"/>
          <w:bCs w:val="0"/>
          <w:sz w:val="32"/>
          <w:szCs w:val="32"/>
        </w:rPr>
        <w:fldChar w:fldCharType="separate"/>
      </w:r>
      <w:r>
        <w:rPr>
          <w:rStyle w:val="18"/>
          <w:rFonts w:hint="default" w:ascii="Times New Roman" w:hAnsi="Times New Roman" w:eastAsia="黑体" w:cs="Times New Roman"/>
          <w:b w:val="0"/>
          <w:bCs w:val="0"/>
          <w:sz w:val="32"/>
          <w:szCs w:val="32"/>
        </w:rPr>
        <w:t>第二章 规划总则</w:t>
      </w:r>
      <w:r>
        <w:rPr>
          <w:rFonts w:hint="default" w:ascii="Times New Roman" w:hAnsi="Times New Roman" w:eastAsia="黑体" w:cs="Times New Roman"/>
          <w:b w:val="0"/>
          <w:bCs w:val="0"/>
          <w:sz w:val="32"/>
          <w:szCs w:val="32"/>
        </w:rPr>
        <w:tab/>
      </w:r>
      <w:r>
        <w:rPr>
          <w:rFonts w:hint="default" w:ascii="Times New Roman" w:hAnsi="Times New Roman" w:eastAsia="黑体" w:cs="Times New Roman"/>
          <w:b w:val="0"/>
          <w:bCs w:val="0"/>
          <w:sz w:val="32"/>
          <w:szCs w:val="32"/>
        </w:rPr>
        <w:fldChar w:fldCharType="begin"/>
      </w:r>
      <w:r>
        <w:rPr>
          <w:rFonts w:hint="default" w:ascii="Times New Roman" w:hAnsi="Times New Roman" w:eastAsia="黑体" w:cs="Times New Roman"/>
          <w:b w:val="0"/>
          <w:bCs w:val="0"/>
          <w:sz w:val="32"/>
          <w:szCs w:val="32"/>
        </w:rPr>
        <w:instrText xml:space="preserve"> PAGEREF _Toc153528945 \h </w:instrText>
      </w:r>
      <w:r>
        <w:rPr>
          <w:rFonts w:hint="default" w:ascii="Times New Roman" w:hAnsi="Times New Roman" w:eastAsia="黑体" w:cs="Times New Roman"/>
          <w:b w:val="0"/>
          <w:bCs w:val="0"/>
          <w:sz w:val="32"/>
          <w:szCs w:val="32"/>
        </w:rPr>
        <w:fldChar w:fldCharType="separate"/>
      </w:r>
      <w:r>
        <w:rPr>
          <w:rFonts w:hint="default" w:ascii="Times New Roman" w:hAnsi="Times New Roman" w:eastAsia="黑体" w:cs="Times New Roman"/>
          <w:b w:val="0"/>
          <w:bCs w:val="0"/>
          <w:sz w:val="32"/>
          <w:szCs w:val="32"/>
        </w:rPr>
        <w:t>9</w:t>
      </w:r>
      <w:r>
        <w:rPr>
          <w:rFonts w:hint="default" w:ascii="Times New Roman" w:hAnsi="Times New Roman" w:eastAsia="黑体" w:cs="Times New Roman"/>
          <w:b w:val="0"/>
          <w:bCs w:val="0"/>
          <w:sz w:val="32"/>
          <w:szCs w:val="32"/>
        </w:rPr>
        <w:fldChar w:fldCharType="end"/>
      </w:r>
      <w:r>
        <w:rPr>
          <w:rFonts w:hint="default" w:ascii="Times New Roman" w:hAnsi="Times New Roman" w:eastAsia="黑体" w:cs="Times New Roman"/>
          <w:b w:val="0"/>
          <w:bCs w:val="0"/>
          <w:sz w:val="32"/>
          <w:szCs w:val="32"/>
        </w:rPr>
        <w:fldChar w:fldCharType="end"/>
      </w:r>
    </w:p>
    <w:p>
      <w:pPr>
        <w:pStyle w:val="12"/>
        <w:tabs>
          <w:tab w:val="right" w:leader="dot" w:pos="8296"/>
        </w:tabs>
        <w:ind w:left="560"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"_Toc153528946" </w:instrText>
      </w:r>
      <w:r>
        <w:rPr>
          <w:rFonts w:hint="default" w:ascii="Times New Roman" w:hAnsi="Times New Roman" w:eastAsia="仿宋_GB2312" w:cs="Times New Roman"/>
          <w:sz w:val="28"/>
          <w:szCs w:val="28"/>
        </w:rPr>
        <w:fldChar w:fldCharType="separate"/>
      </w:r>
      <w:r>
        <w:rPr>
          <w:rStyle w:val="18"/>
          <w:rFonts w:hint="default" w:ascii="Times New Roman" w:hAnsi="Times New Roman" w:eastAsia="仿宋_GB2312" w:cs="Times New Roman"/>
          <w:sz w:val="28"/>
          <w:szCs w:val="28"/>
        </w:rPr>
        <w:t>第一节 指导思想</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_Toc153528946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12"/>
        <w:tabs>
          <w:tab w:val="right" w:leader="dot" w:pos="8296"/>
        </w:tabs>
        <w:ind w:left="560"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"_Toc153528947" </w:instrText>
      </w:r>
      <w:r>
        <w:rPr>
          <w:rFonts w:hint="default" w:ascii="Times New Roman" w:hAnsi="Times New Roman" w:eastAsia="仿宋_GB2312" w:cs="Times New Roman"/>
          <w:sz w:val="28"/>
          <w:szCs w:val="28"/>
        </w:rPr>
        <w:fldChar w:fldCharType="separate"/>
      </w:r>
      <w:r>
        <w:rPr>
          <w:rStyle w:val="18"/>
          <w:rFonts w:hint="default" w:ascii="Times New Roman" w:hAnsi="Times New Roman" w:eastAsia="仿宋_GB2312" w:cs="Times New Roman"/>
          <w:sz w:val="28"/>
          <w:szCs w:val="28"/>
        </w:rPr>
        <w:t>第二节 基本原则</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_Toc153528947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12"/>
        <w:tabs>
          <w:tab w:val="right" w:leader="dot" w:pos="8296"/>
        </w:tabs>
        <w:ind w:left="560"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"_Toc153528948" </w:instrText>
      </w:r>
      <w:r>
        <w:rPr>
          <w:rFonts w:hint="default" w:ascii="Times New Roman" w:hAnsi="Times New Roman" w:eastAsia="仿宋_GB2312" w:cs="Times New Roman"/>
          <w:sz w:val="28"/>
          <w:szCs w:val="28"/>
        </w:rPr>
        <w:fldChar w:fldCharType="separate"/>
      </w:r>
      <w:r>
        <w:rPr>
          <w:rStyle w:val="18"/>
          <w:rFonts w:hint="default" w:ascii="Times New Roman" w:hAnsi="Times New Roman" w:eastAsia="仿宋_GB2312" w:cs="Times New Roman"/>
          <w:sz w:val="28"/>
          <w:szCs w:val="28"/>
        </w:rPr>
        <w:t>第三节 规划范围</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_Toc153528948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12"/>
        <w:tabs>
          <w:tab w:val="right" w:leader="dot" w:pos="8296"/>
        </w:tabs>
        <w:ind w:left="560"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"_Toc153528949" </w:instrText>
      </w:r>
      <w:r>
        <w:rPr>
          <w:rFonts w:hint="default" w:ascii="Times New Roman" w:hAnsi="Times New Roman" w:eastAsia="仿宋_GB2312" w:cs="Times New Roman"/>
          <w:sz w:val="28"/>
          <w:szCs w:val="28"/>
        </w:rPr>
        <w:fldChar w:fldCharType="separate"/>
      </w:r>
      <w:r>
        <w:rPr>
          <w:rStyle w:val="18"/>
          <w:rFonts w:hint="default" w:ascii="Times New Roman" w:hAnsi="Times New Roman" w:eastAsia="仿宋_GB2312" w:cs="Times New Roman"/>
          <w:sz w:val="28"/>
          <w:szCs w:val="28"/>
        </w:rPr>
        <w:t>第四节 规划期限</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_Toc153528949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12"/>
        <w:tabs>
          <w:tab w:val="right" w:leader="dot" w:pos="8296"/>
        </w:tabs>
        <w:ind w:left="560"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"_Toc153528950" </w:instrText>
      </w:r>
      <w:r>
        <w:rPr>
          <w:rFonts w:hint="default" w:ascii="Times New Roman" w:hAnsi="Times New Roman" w:eastAsia="仿宋_GB2312" w:cs="Times New Roman"/>
          <w:sz w:val="28"/>
          <w:szCs w:val="28"/>
        </w:rPr>
        <w:fldChar w:fldCharType="separate"/>
      </w:r>
      <w:r>
        <w:rPr>
          <w:rStyle w:val="18"/>
          <w:rFonts w:hint="default" w:ascii="Times New Roman" w:hAnsi="Times New Roman" w:eastAsia="仿宋_GB2312" w:cs="Times New Roman"/>
          <w:sz w:val="28"/>
          <w:szCs w:val="28"/>
        </w:rPr>
        <w:t>第五节 规划目标</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_Toc153528950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12"/>
        <w:tabs>
          <w:tab w:val="right" w:leader="dot" w:pos="8296"/>
        </w:tabs>
        <w:ind w:left="560" w:firstLine="560"/>
        <w:rPr>
          <w:rFonts w:hint="default" w:ascii="Times New Roman" w:hAnsi="Times New Roman" w:cs="Times New Roman" w:eastAsiaTheme="minorEastAsia"/>
          <w:sz w:val="21"/>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"_Toc153528951" </w:instrText>
      </w:r>
      <w:r>
        <w:rPr>
          <w:rFonts w:hint="default" w:ascii="Times New Roman" w:hAnsi="Times New Roman" w:eastAsia="仿宋_GB2312" w:cs="Times New Roman"/>
          <w:sz w:val="28"/>
          <w:szCs w:val="28"/>
        </w:rPr>
        <w:fldChar w:fldCharType="separate"/>
      </w:r>
      <w:r>
        <w:rPr>
          <w:rStyle w:val="18"/>
          <w:rFonts w:hint="default" w:ascii="Times New Roman" w:hAnsi="Times New Roman" w:eastAsia="仿宋_GB2312" w:cs="Times New Roman"/>
          <w:sz w:val="28"/>
          <w:szCs w:val="28"/>
        </w:rPr>
        <w:t>第六节 建设指标</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_Toc153528951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10"/>
        <w:ind w:firstLine="562"/>
        <w:rPr>
          <w:rFonts w:hint="default" w:ascii="Times New Roman" w:hAnsi="Times New Roman" w:cs="Times New Roman" w:eastAsiaTheme="minorEastAsia"/>
          <w:b w:val="0"/>
          <w:bCs w:val="0"/>
          <w:sz w:val="21"/>
        </w:rPr>
      </w:pPr>
      <w:r>
        <w:rPr>
          <w:rFonts w:hint="default" w:ascii="Times New Roman" w:hAnsi="Times New Roman" w:eastAsia="黑体" w:cs="Times New Roman"/>
          <w:b w:val="0"/>
          <w:bCs w:val="0"/>
          <w:sz w:val="32"/>
          <w:szCs w:val="32"/>
        </w:rPr>
        <w:fldChar w:fldCharType="begin"/>
      </w:r>
      <w:r>
        <w:rPr>
          <w:rFonts w:hint="default" w:ascii="Times New Roman" w:hAnsi="Times New Roman" w:eastAsia="黑体" w:cs="Times New Roman"/>
          <w:b w:val="0"/>
          <w:bCs w:val="0"/>
          <w:sz w:val="32"/>
          <w:szCs w:val="32"/>
        </w:rPr>
        <w:instrText xml:space="preserve"> HYPERLINK \l "_Toc153528952" </w:instrText>
      </w:r>
      <w:r>
        <w:rPr>
          <w:rFonts w:hint="default" w:ascii="Times New Roman" w:hAnsi="Times New Roman" w:eastAsia="黑体" w:cs="Times New Roman"/>
          <w:b w:val="0"/>
          <w:bCs w:val="0"/>
          <w:sz w:val="32"/>
          <w:szCs w:val="32"/>
        </w:rPr>
        <w:fldChar w:fldCharType="separate"/>
      </w:r>
      <w:r>
        <w:rPr>
          <w:rStyle w:val="18"/>
          <w:rFonts w:hint="default" w:ascii="Times New Roman" w:hAnsi="Times New Roman" w:eastAsia="黑体" w:cs="Times New Roman"/>
          <w:b w:val="0"/>
          <w:bCs w:val="0"/>
          <w:sz w:val="32"/>
          <w:szCs w:val="32"/>
        </w:rPr>
        <w:t>第三章 规划任务与措施</w:t>
      </w:r>
      <w:r>
        <w:rPr>
          <w:rFonts w:hint="default" w:ascii="Times New Roman" w:hAnsi="Times New Roman" w:eastAsia="黑体" w:cs="Times New Roman"/>
          <w:b w:val="0"/>
          <w:bCs w:val="0"/>
          <w:sz w:val="32"/>
          <w:szCs w:val="32"/>
        </w:rPr>
        <w:tab/>
      </w:r>
      <w:r>
        <w:rPr>
          <w:rFonts w:hint="default" w:ascii="Times New Roman" w:hAnsi="Times New Roman" w:eastAsia="黑体" w:cs="Times New Roman"/>
          <w:b w:val="0"/>
          <w:bCs w:val="0"/>
          <w:sz w:val="32"/>
          <w:szCs w:val="32"/>
        </w:rPr>
        <w:fldChar w:fldCharType="begin"/>
      </w:r>
      <w:r>
        <w:rPr>
          <w:rFonts w:hint="default" w:ascii="Times New Roman" w:hAnsi="Times New Roman" w:eastAsia="黑体" w:cs="Times New Roman"/>
          <w:b w:val="0"/>
          <w:bCs w:val="0"/>
          <w:sz w:val="32"/>
          <w:szCs w:val="32"/>
        </w:rPr>
        <w:instrText xml:space="preserve"> PAGEREF _Toc153528952 \h </w:instrText>
      </w:r>
      <w:r>
        <w:rPr>
          <w:rFonts w:hint="default" w:ascii="Times New Roman" w:hAnsi="Times New Roman" w:eastAsia="黑体" w:cs="Times New Roman"/>
          <w:b w:val="0"/>
          <w:bCs w:val="0"/>
          <w:sz w:val="32"/>
          <w:szCs w:val="32"/>
        </w:rPr>
        <w:fldChar w:fldCharType="separate"/>
      </w:r>
      <w:r>
        <w:rPr>
          <w:rFonts w:hint="default" w:ascii="Times New Roman" w:hAnsi="Times New Roman" w:eastAsia="黑体" w:cs="Times New Roman"/>
          <w:b w:val="0"/>
          <w:bCs w:val="0"/>
          <w:sz w:val="32"/>
          <w:szCs w:val="32"/>
        </w:rPr>
        <w:t>21</w:t>
      </w:r>
      <w:r>
        <w:rPr>
          <w:rFonts w:hint="default" w:ascii="Times New Roman" w:hAnsi="Times New Roman" w:eastAsia="黑体" w:cs="Times New Roman"/>
          <w:b w:val="0"/>
          <w:bCs w:val="0"/>
          <w:sz w:val="32"/>
          <w:szCs w:val="32"/>
        </w:rPr>
        <w:fldChar w:fldCharType="end"/>
      </w:r>
      <w:r>
        <w:rPr>
          <w:rFonts w:hint="default" w:ascii="Times New Roman" w:hAnsi="Times New Roman" w:eastAsia="黑体" w:cs="Times New Roman"/>
          <w:b w:val="0"/>
          <w:bCs w:val="0"/>
          <w:sz w:val="32"/>
          <w:szCs w:val="32"/>
        </w:rPr>
        <w:fldChar w:fldCharType="end"/>
      </w:r>
    </w:p>
    <w:p>
      <w:pPr>
        <w:pStyle w:val="12"/>
        <w:tabs>
          <w:tab w:val="right" w:leader="dot" w:pos="8296"/>
        </w:tabs>
        <w:ind w:left="560"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"_Toc153528953" </w:instrText>
      </w:r>
      <w:r>
        <w:rPr>
          <w:rFonts w:hint="default" w:ascii="Times New Roman" w:hAnsi="Times New Roman" w:eastAsia="仿宋_GB2312" w:cs="Times New Roman"/>
          <w:sz w:val="28"/>
          <w:szCs w:val="28"/>
        </w:rPr>
        <w:fldChar w:fldCharType="separate"/>
      </w:r>
      <w:r>
        <w:rPr>
          <w:rStyle w:val="18"/>
          <w:rFonts w:hint="default" w:ascii="Times New Roman" w:hAnsi="Times New Roman" w:eastAsia="仿宋_GB2312" w:cs="Times New Roman"/>
          <w:sz w:val="28"/>
          <w:szCs w:val="28"/>
        </w:rPr>
        <w:t>第一节 以高效能治理激发生态优势地区制度活力</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_Toc153528953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12"/>
        <w:tabs>
          <w:tab w:val="right" w:leader="dot" w:pos="8296"/>
        </w:tabs>
        <w:ind w:left="560"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"_Toc153528954" </w:instrText>
      </w:r>
      <w:r>
        <w:rPr>
          <w:rFonts w:hint="default" w:ascii="Times New Roman" w:hAnsi="Times New Roman" w:eastAsia="仿宋_GB2312" w:cs="Times New Roman"/>
          <w:sz w:val="28"/>
          <w:szCs w:val="28"/>
        </w:rPr>
        <w:fldChar w:fldCharType="separate"/>
      </w:r>
      <w:r>
        <w:rPr>
          <w:rStyle w:val="18"/>
          <w:rFonts w:hint="default" w:ascii="Times New Roman" w:hAnsi="Times New Roman" w:eastAsia="仿宋_GB2312" w:cs="Times New Roman"/>
          <w:sz w:val="28"/>
          <w:szCs w:val="28"/>
        </w:rPr>
        <w:t>第二节 以高水平保护建设天蓝地绿水清美丽兴安</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_Toc153528954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12"/>
        <w:tabs>
          <w:tab w:val="right" w:leader="dot" w:pos="8296"/>
        </w:tabs>
        <w:ind w:left="560"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"_Toc153528955" </w:instrText>
      </w:r>
      <w:r>
        <w:rPr>
          <w:rFonts w:hint="default" w:ascii="Times New Roman" w:hAnsi="Times New Roman" w:eastAsia="仿宋_GB2312" w:cs="Times New Roman"/>
          <w:sz w:val="28"/>
          <w:szCs w:val="28"/>
        </w:rPr>
        <w:fldChar w:fldCharType="separate"/>
      </w:r>
      <w:r>
        <w:rPr>
          <w:rStyle w:val="18"/>
          <w:rFonts w:hint="default" w:ascii="Times New Roman" w:hAnsi="Times New Roman" w:eastAsia="仿宋_GB2312" w:cs="Times New Roman"/>
          <w:sz w:val="28"/>
          <w:szCs w:val="28"/>
        </w:rPr>
        <w:t>第三节 以高规格空间保护筑牢两江源头自然基底</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_Toc153528955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12"/>
        <w:tabs>
          <w:tab w:val="right" w:leader="dot" w:pos="8296"/>
        </w:tabs>
        <w:ind w:left="560"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"_Toc153528956" </w:instrText>
      </w:r>
      <w:r>
        <w:rPr>
          <w:rFonts w:hint="default" w:ascii="Times New Roman" w:hAnsi="Times New Roman" w:eastAsia="仿宋_GB2312" w:cs="Times New Roman"/>
          <w:sz w:val="28"/>
          <w:szCs w:val="28"/>
        </w:rPr>
        <w:fldChar w:fldCharType="separate"/>
      </w:r>
      <w:r>
        <w:rPr>
          <w:rStyle w:val="18"/>
          <w:rFonts w:hint="default" w:ascii="Times New Roman" w:hAnsi="Times New Roman" w:eastAsia="仿宋_GB2312" w:cs="Times New Roman"/>
          <w:sz w:val="28"/>
          <w:szCs w:val="28"/>
        </w:rPr>
        <w:t>第四节 以高质量发展推动现代产业富绿共赢</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_Toc153528956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12"/>
        <w:tabs>
          <w:tab w:val="right" w:leader="dot" w:pos="8296"/>
        </w:tabs>
        <w:ind w:left="560"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"_Toc153528957" </w:instrText>
      </w:r>
      <w:r>
        <w:rPr>
          <w:rFonts w:hint="default" w:ascii="Times New Roman" w:hAnsi="Times New Roman" w:eastAsia="仿宋_GB2312" w:cs="Times New Roman"/>
          <w:sz w:val="28"/>
          <w:szCs w:val="28"/>
        </w:rPr>
        <w:fldChar w:fldCharType="separate"/>
      </w:r>
      <w:r>
        <w:rPr>
          <w:rStyle w:val="18"/>
          <w:rFonts w:hint="default" w:ascii="Times New Roman" w:hAnsi="Times New Roman" w:eastAsia="仿宋_GB2312" w:cs="Times New Roman"/>
          <w:sz w:val="28"/>
          <w:szCs w:val="28"/>
        </w:rPr>
        <w:t>第五节 以高品质生活打造宜居宜游生态康养目的地</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_Toc153528957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12"/>
        <w:tabs>
          <w:tab w:val="right" w:leader="dot" w:pos="8296"/>
        </w:tabs>
        <w:ind w:left="560" w:firstLine="560"/>
        <w:rPr>
          <w:rFonts w:hint="default" w:ascii="Times New Roman" w:hAnsi="Times New Roman" w:cs="Times New Roman" w:eastAsiaTheme="minorEastAsia"/>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"_Toc153528958" </w:instrText>
      </w:r>
      <w:r>
        <w:rPr>
          <w:rFonts w:hint="default" w:ascii="Times New Roman" w:hAnsi="Times New Roman" w:eastAsia="仿宋_GB2312" w:cs="Times New Roman"/>
          <w:sz w:val="28"/>
          <w:szCs w:val="28"/>
        </w:rPr>
        <w:fldChar w:fldCharType="separate"/>
      </w:r>
      <w:r>
        <w:rPr>
          <w:rStyle w:val="18"/>
          <w:rFonts w:hint="default" w:ascii="Times New Roman" w:hAnsi="Times New Roman" w:eastAsia="仿宋_GB2312" w:cs="Times New Roman"/>
          <w:sz w:val="28"/>
          <w:szCs w:val="28"/>
        </w:rPr>
        <w:t>第六节 以高热度文化推动桂北生态品牌出新出彩</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_Toc153528958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10"/>
        <w:ind w:firstLine="562"/>
        <w:rPr>
          <w:rFonts w:hint="default" w:ascii="Times New Roman" w:hAnsi="Times New Roman" w:cs="Times New Roman" w:eastAsiaTheme="minorEastAsia"/>
          <w:b w:val="0"/>
          <w:bCs w:val="0"/>
          <w:sz w:val="21"/>
        </w:rPr>
      </w:pPr>
      <w:r>
        <w:rPr>
          <w:rFonts w:hint="default" w:ascii="Times New Roman" w:hAnsi="Times New Roman" w:eastAsia="黑体" w:cs="Times New Roman"/>
          <w:b w:val="0"/>
          <w:bCs w:val="0"/>
          <w:sz w:val="32"/>
          <w:szCs w:val="32"/>
        </w:rPr>
        <w:fldChar w:fldCharType="begin"/>
      </w:r>
      <w:r>
        <w:rPr>
          <w:rFonts w:hint="default" w:ascii="Times New Roman" w:hAnsi="Times New Roman" w:eastAsia="黑体" w:cs="Times New Roman"/>
          <w:b w:val="0"/>
          <w:bCs w:val="0"/>
          <w:sz w:val="32"/>
          <w:szCs w:val="32"/>
        </w:rPr>
        <w:instrText xml:space="preserve"> HYPERLINK \l "_Toc153528959" </w:instrText>
      </w:r>
      <w:r>
        <w:rPr>
          <w:rFonts w:hint="default" w:ascii="Times New Roman" w:hAnsi="Times New Roman" w:eastAsia="黑体" w:cs="Times New Roman"/>
          <w:b w:val="0"/>
          <w:bCs w:val="0"/>
          <w:sz w:val="32"/>
          <w:szCs w:val="32"/>
        </w:rPr>
        <w:fldChar w:fldCharType="separate"/>
      </w:r>
      <w:r>
        <w:rPr>
          <w:rStyle w:val="18"/>
          <w:rFonts w:hint="default" w:ascii="Times New Roman" w:hAnsi="Times New Roman" w:eastAsia="黑体" w:cs="Times New Roman"/>
          <w:b w:val="0"/>
          <w:bCs w:val="0"/>
          <w:sz w:val="32"/>
          <w:szCs w:val="32"/>
        </w:rPr>
        <w:t>第四章 重点工程</w:t>
      </w:r>
      <w:r>
        <w:rPr>
          <w:rFonts w:hint="default" w:ascii="Times New Roman" w:hAnsi="Times New Roman" w:eastAsia="黑体" w:cs="Times New Roman"/>
          <w:b w:val="0"/>
          <w:bCs w:val="0"/>
          <w:sz w:val="32"/>
          <w:szCs w:val="32"/>
        </w:rPr>
        <w:tab/>
      </w:r>
      <w:r>
        <w:rPr>
          <w:rFonts w:hint="default" w:ascii="Times New Roman" w:hAnsi="Times New Roman" w:eastAsia="黑体" w:cs="Times New Roman"/>
          <w:b w:val="0"/>
          <w:bCs w:val="0"/>
          <w:sz w:val="32"/>
          <w:szCs w:val="32"/>
        </w:rPr>
        <w:fldChar w:fldCharType="begin"/>
      </w:r>
      <w:r>
        <w:rPr>
          <w:rFonts w:hint="default" w:ascii="Times New Roman" w:hAnsi="Times New Roman" w:eastAsia="黑体" w:cs="Times New Roman"/>
          <w:b w:val="0"/>
          <w:bCs w:val="0"/>
          <w:sz w:val="32"/>
          <w:szCs w:val="32"/>
        </w:rPr>
        <w:instrText xml:space="preserve"> PAGEREF _Toc153528959 \h </w:instrText>
      </w:r>
      <w:r>
        <w:rPr>
          <w:rFonts w:hint="default" w:ascii="Times New Roman" w:hAnsi="Times New Roman" w:eastAsia="黑体" w:cs="Times New Roman"/>
          <w:b w:val="0"/>
          <w:bCs w:val="0"/>
          <w:sz w:val="32"/>
          <w:szCs w:val="32"/>
        </w:rPr>
        <w:fldChar w:fldCharType="separate"/>
      </w:r>
      <w:r>
        <w:rPr>
          <w:rFonts w:hint="default" w:ascii="Times New Roman" w:hAnsi="Times New Roman" w:eastAsia="黑体" w:cs="Times New Roman"/>
          <w:b w:val="0"/>
          <w:bCs w:val="0"/>
          <w:sz w:val="32"/>
          <w:szCs w:val="32"/>
        </w:rPr>
        <w:t>62</w:t>
      </w:r>
      <w:r>
        <w:rPr>
          <w:rFonts w:hint="default" w:ascii="Times New Roman" w:hAnsi="Times New Roman" w:eastAsia="黑体" w:cs="Times New Roman"/>
          <w:b w:val="0"/>
          <w:bCs w:val="0"/>
          <w:sz w:val="32"/>
          <w:szCs w:val="32"/>
        </w:rPr>
        <w:fldChar w:fldCharType="end"/>
      </w:r>
      <w:r>
        <w:rPr>
          <w:rFonts w:hint="default" w:ascii="Times New Roman" w:hAnsi="Times New Roman" w:eastAsia="黑体" w:cs="Times New Roman"/>
          <w:b w:val="0"/>
          <w:bCs w:val="0"/>
          <w:sz w:val="32"/>
          <w:szCs w:val="32"/>
        </w:rPr>
        <w:fldChar w:fldCharType="end"/>
      </w:r>
    </w:p>
    <w:p>
      <w:pPr>
        <w:pStyle w:val="10"/>
        <w:ind w:firstLine="562"/>
        <w:rPr>
          <w:rFonts w:hint="default" w:ascii="Times New Roman" w:hAnsi="Times New Roman" w:cs="Times New Roman" w:eastAsiaTheme="minorEastAsia"/>
          <w:b w:val="0"/>
          <w:bCs w:val="0"/>
          <w:sz w:val="21"/>
        </w:rPr>
      </w:pPr>
      <w:r>
        <w:rPr>
          <w:rFonts w:hint="default" w:ascii="Times New Roman" w:hAnsi="Times New Roman" w:eastAsia="黑体" w:cs="Times New Roman"/>
          <w:b w:val="0"/>
          <w:bCs w:val="0"/>
          <w:sz w:val="32"/>
          <w:szCs w:val="32"/>
        </w:rPr>
        <w:fldChar w:fldCharType="begin"/>
      </w:r>
      <w:r>
        <w:rPr>
          <w:rFonts w:hint="default" w:ascii="Times New Roman" w:hAnsi="Times New Roman" w:eastAsia="黑体" w:cs="Times New Roman"/>
          <w:b w:val="0"/>
          <w:bCs w:val="0"/>
          <w:sz w:val="32"/>
          <w:szCs w:val="32"/>
        </w:rPr>
        <w:instrText xml:space="preserve"> HYPERLINK \l "_Toc153528960" </w:instrText>
      </w:r>
      <w:r>
        <w:rPr>
          <w:rFonts w:hint="default" w:ascii="Times New Roman" w:hAnsi="Times New Roman" w:eastAsia="黑体" w:cs="Times New Roman"/>
          <w:b w:val="0"/>
          <w:bCs w:val="0"/>
          <w:sz w:val="32"/>
          <w:szCs w:val="32"/>
        </w:rPr>
        <w:fldChar w:fldCharType="separate"/>
      </w:r>
      <w:r>
        <w:rPr>
          <w:rStyle w:val="18"/>
          <w:rFonts w:hint="default" w:ascii="Times New Roman" w:hAnsi="Times New Roman" w:eastAsia="黑体" w:cs="Times New Roman"/>
          <w:b w:val="0"/>
          <w:bCs w:val="0"/>
          <w:sz w:val="32"/>
          <w:szCs w:val="32"/>
        </w:rPr>
        <w:t>第五章 保障措施</w:t>
      </w:r>
      <w:r>
        <w:rPr>
          <w:rFonts w:hint="default" w:ascii="Times New Roman" w:hAnsi="Times New Roman" w:eastAsia="黑体" w:cs="Times New Roman"/>
          <w:b w:val="0"/>
          <w:bCs w:val="0"/>
          <w:sz w:val="32"/>
          <w:szCs w:val="32"/>
        </w:rPr>
        <w:tab/>
      </w:r>
      <w:r>
        <w:rPr>
          <w:rFonts w:hint="default" w:ascii="Times New Roman" w:hAnsi="Times New Roman" w:eastAsia="黑体" w:cs="Times New Roman"/>
          <w:b w:val="0"/>
          <w:bCs w:val="0"/>
          <w:sz w:val="32"/>
          <w:szCs w:val="32"/>
        </w:rPr>
        <w:fldChar w:fldCharType="begin"/>
      </w:r>
      <w:r>
        <w:rPr>
          <w:rFonts w:hint="default" w:ascii="Times New Roman" w:hAnsi="Times New Roman" w:eastAsia="黑体" w:cs="Times New Roman"/>
          <w:b w:val="0"/>
          <w:bCs w:val="0"/>
          <w:sz w:val="32"/>
          <w:szCs w:val="32"/>
        </w:rPr>
        <w:instrText xml:space="preserve"> PAGEREF _Toc153528960 \h </w:instrText>
      </w:r>
      <w:r>
        <w:rPr>
          <w:rFonts w:hint="default" w:ascii="Times New Roman" w:hAnsi="Times New Roman" w:eastAsia="黑体" w:cs="Times New Roman"/>
          <w:b w:val="0"/>
          <w:bCs w:val="0"/>
          <w:sz w:val="32"/>
          <w:szCs w:val="32"/>
        </w:rPr>
        <w:fldChar w:fldCharType="separate"/>
      </w:r>
      <w:r>
        <w:rPr>
          <w:rFonts w:hint="default" w:ascii="Times New Roman" w:hAnsi="Times New Roman" w:eastAsia="黑体" w:cs="Times New Roman"/>
          <w:b w:val="0"/>
          <w:bCs w:val="0"/>
          <w:sz w:val="32"/>
          <w:szCs w:val="32"/>
        </w:rPr>
        <w:t>68</w:t>
      </w:r>
      <w:r>
        <w:rPr>
          <w:rFonts w:hint="default" w:ascii="Times New Roman" w:hAnsi="Times New Roman" w:eastAsia="黑体" w:cs="Times New Roman"/>
          <w:b w:val="0"/>
          <w:bCs w:val="0"/>
          <w:sz w:val="32"/>
          <w:szCs w:val="32"/>
        </w:rPr>
        <w:fldChar w:fldCharType="end"/>
      </w:r>
      <w:r>
        <w:rPr>
          <w:rFonts w:hint="default" w:ascii="Times New Roman" w:hAnsi="Times New Roman" w:eastAsia="黑体" w:cs="Times New Roman"/>
          <w:b w:val="0"/>
          <w:bCs w:val="0"/>
          <w:sz w:val="32"/>
          <w:szCs w:val="32"/>
        </w:rPr>
        <w:fldChar w:fldCharType="end"/>
      </w:r>
    </w:p>
    <w:p>
      <w:pPr>
        <w:pStyle w:val="12"/>
        <w:tabs>
          <w:tab w:val="right" w:leader="dot" w:pos="8296"/>
        </w:tabs>
        <w:ind w:left="560"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"_Toc153528961" </w:instrText>
      </w:r>
      <w:r>
        <w:rPr>
          <w:rFonts w:hint="default" w:ascii="Times New Roman" w:hAnsi="Times New Roman" w:eastAsia="仿宋_GB2312" w:cs="Times New Roman"/>
          <w:sz w:val="28"/>
          <w:szCs w:val="28"/>
        </w:rPr>
        <w:fldChar w:fldCharType="separate"/>
      </w:r>
      <w:r>
        <w:rPr>
          <w:rStyle w:val="18"/>
          <w:rFonts w:hint="default" w:ascii="Times New Roman" w:hAnsi="Times New Roman" w:eastAsia="仿宋_GB2312" w:cs="Times New Roman"/>
          <w:sz w:val="28"/>
          <w:szCs w:val="28"/>
        </w:rPr>
        <w:t>第一节 加强组织领导</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_Toc153528961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12"/>
        <w:tabs>
          <w:tab w:val="right" w:leader="dot" w:pos="8296"/>
        </w:tabs>
        <w:ind w:left="560"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"_Toc153528962" </w:instrText>
      </w:r>
      <w:r>
        <w:rPr>
          <w:rFonts w:hint="default" w:ascii="Times New Roman" w:hAnsi="Times New Roman" w:eastAsia="仿宋_GB2312" w:cs="Times New Roman"/>
          <w:sz w:val="28"/>
          <w:szCs w:val="28"/>
        </w:rPr>
        <w:fldChar w:fldCharType="separate"/>
      </w:r>
      <w:r>
        <w:rPr>
          <w:rStyle w:val="18"/>
          <w:rFonts w:hint="default" w:ascii="Times New Roman" w:hAnsi="Times New Roman" w:eastAsia="仿宋_GB2312" w:cs="Times New Roman"/>
          <w:sz w:val="28"/>
          <w:szCs w:val="28"/>
        </w:rPr>
        <w:t>第二节 严格监督考核</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_Toc153528962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12"/>
        <w:tabs>
          <w:tab w:val="right" w:leader="dot" w:pos="8296"/>
        </w:tabs>
        <w:ind w:left="560"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"_Toc153528963" </w:instrText>
      </w:r>
      <w:r>
        <w:rPr>
          <w:rFonts w:hint="default" w:ascii="Times New Roman" w:hAnsi="Times New Roman" w:eastAsia="仿宋_GB2312" w:cs="Times New Roman"/>
          <w:sz w:val="28"/>
          <w:szCs w:val="28"/>
        </w:rPr>
        <w:fldChar w:fldCharType="separate"/>
      </w:r>
      <w:r>
        <w:rPr>
          <w:rStyle w:val="18"/>
          <w:rFonts w:hint="default" w:ascii="Times New Roman" w:hAnsi="Times New Roman" w:eastAsia="仿宋_GB2312" w:cs="Times New Roman"/>
          <w:sz w:val="28"/>
          <w:szCs w:val="28"/>
        </w:rPr>
        <w:t>第三节 加大资金投入</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_Toc153528963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12"/>
        <w:tabs>
          <w:tab w:val="right" w:leader="dot" w:pos="8296"/>
        </w:tabs>
        <w:ind w:left="560"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"_Toc153528964" </w:instrText>
      </w:r>
      <w:r>
        <w:rPr>
          <w:rFonts w:hint="default" w:ascii="Times New Roman" w:hAnsi="Times New Roman" w:eastAsia="仿宋_GB2312" w:cs="Times New Roman"/>
          <w:sz w:val="28"/>
          <w:szCs w:val="28"/>
        </w:rPr>
        <w:fldChar w:fldCharType="separate"/>
      </w:r>
      <w:r>
        <w:rPr>
          <w:rStyle w:val="18"/>
          <w:rFonts w:hint="default" w:ascii="Times New Roman" w:hAnsi="Times New Roman" w:eastAsia="仿宋_GB2312" w:cs="Times New Roman"/>
          <w:sz w:val="28"/>
          <w:szCs w:val="28"/>
        </w:rPr>
        <w:t>第四节 强化科技创新</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_Toc153528964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12"/>
        <w:tabs>
          <w:tab w:val="right" w:leader="dot" w:pos="8296"/>
        </w:tabs>
        <w:ind w:left="560" w:firstLine="560"/>
        <w:rPr>
          <w:rFonts w:hint="default" w:ascii="Times New Roman" w:hAnsi="Times New Roman" w:cs="Times New Roman" w:eastAsiaTheme="minorEastAsia"/>
          <w:sz w:val="21"/>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"_Toc153528965" </w:instrText>
      </w:r>
      <w:r>
        <w:rPr>
          <w:rFonts w:hint="default" w:ascii="Times New Roman" w:hAnsi="Times New Roman" w:eastAsia="仿宋_GB2312" w:cs="Times New Roman"/>
          <w:sz w:val="28"/>
          <w:szCs w:val="28"/>
        </w:rPr>
        <w:fldChar w:fldCharType="separate"/>
      </w:r>
      <w:r>
        <w:rPr>
          <w:rStyle w:val="18"/>
          <w:rFonts w:hint="default" w:ascii="Times New Roman" w:hAnsi="Times New Roman" w:eastAsia="仿宋_GB2312" w:cs="Times New Roman"/>
          <w:sz w:val="28"/>
          <w:szCs w:val="28"/>
        </w:rPr>
        <w:t>第五节 鼓励社会参与</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_Toc153528965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ind w:firstLine="560"/>
        <w:rPr>
          <w:rFonts w:hint="default" w:ascii="Times New Roman" w:hAnsi="Times New Roman" w:cs="Times New Roman"/>
        </w:rPr>
      </w:pPr>
      <w:r>
        <w:rPr>
          <w:rFonts w:hint="default" w:ascii="Times New Roman" w:hAnsi="Times New Roman" w:cs="Times New Roman"/>
        </w:rPr>
        <w:fldChar w:fldCharType="end"/>
      </w:r>
    </w:p>
    <w:p>
      <w:pPr>
        <w:ind w:firstLine="480"/>
        <w:rPr>
          <w:rFonts w:hint="default" w:ascii="Times New Roman" w:hAnsi="Times New Roman" w:eastAsia="仿宋" w:cs="Times New Roman"/>
          <w:sz w:val="24"/>
          <w:szCs w:val="24"/>
        </w:rPr>
      </w:pPr>
    </w:p>
    <w:p>
      <w:pPr>
        <w:ind w:firstLine="480"/>
        <w:rPr>
          <w:rFonts w:hint="default" w:ascii="Times New Roman" w:hAnsi="Times New Roman" w:eastAsia="仿宋" w:cs="Times New Roman"/>
          <w:sz w:val="24"/>
          <w:szCs w:val="24"/>
        </w:rPr>
      </w:pPr>
    </w:p>
    <w:p>
      <w:pPr>
        <w:ind w:firstLine="480"/>
        <w:rPr>
          <w:rFonts w:hint="default" w:ascii="Times New Roman" w:hAnsi="Times New Roman" w:eastAsia="仿宋" w:cs="Times New Roman"/>
          <w:sz w:val="24"/>
          <w:szCs w:val="24"/>
        </w:rPr>
        <w:sectPr>
          <w:pgSz w:w="11906" w:h="16838"/>
          <w:pgMar w:top="1440" w:right="1800" w:bottom="1440" w:left="1800" w:header="851" w:footer="992" w:gutter="0"/>
          <w:pgNumType w:fmt="lowerRoman"/>
          <w:cols w:space="425" w:num="1"/>
          <w:docGrid w:type="lines" w:linePitch="312" w:charSpace="0"/>
        </w:sectPr>
      </w:pPr>
    </w:p>
    <w:p>
      <w:pPr>
        <w:spacing w:after="156" w:afterLines="50"/>
        <w:ind w:firstLine="0" w:firstLineChars="0"/>
        <w:jc w:val="center"/>
        <w:outlineLvl w:val="0"/>
        <w:rPr>
          <w:rFonts w:hint="default" w:ascii="Times New Roman" w:hAnsi="Times New Roman" w:eastAsia="黑体" w:cs="Times New Roman"/>
          <w:b w:val="0"/>
          <w:bCs w:val="0"/>
          <w:sz w:val="44"/>
          <w:szCs w:val="44"/>
        </w:rPr>
      </w:pPr>
      <w:bookmarkStart w:id="4" w:name="_Toc153528939"/>
      <w:bookmarkStart w:id="5" w:name="_Toc151734529"/>
      <w:bookmarkStart w:id="6" w:name="_Toc148253456"/>
      <w:r>
        <w:rPr>
          <w:rFonts w:hint="default" w:ascii="Times New Roman" w:hAnsi="Times New Roman" w:eastAsia="黑体" w:cs="Times New Roman"/>
          <w:b w:val="0"/>
          <w:bCs w:val="0"/>
          <w:sz w:val="44"/>
          <w:szCs w:val="44"/>
        </w:rPr>
        <w:t>第一章 工作基础与形势分析</w:t>
      </w:r>
      <w:bookmarkEnd w:id="4"/>
    </w:p>
    <w:bookmarkEnd w:id="5"/>
    <w:bookmarkEnd w:id="6"/>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1"/>
        <w:rPr>
          <w:rFonts w:hint="default" w:ascii="Times New Roman" w:hAnsi="Times New Roman" w:eastAsia="仿宋_GB2312" w:cs="Times New Roman"/>
          <w:sz w:val="32"/>
          <w:szCs w:val="24"/>
        </w:rPr>
      </w:pPr>
      <w:bookmarkStart w:id="7" w:name="_Toc153528940"/>
      <w:bookmarkStart w:id="8" w:name="_Toc151734530"/>
    </w:p>
    <w:p>
      <w:pPr>
        <w:keepNext w:val="0"/>
        <w:keepLines w:val="0"/>
        <w:pageBreakBefore w:val="0"/>
        <w:widowControl w:val="0"/>
        <w:kinsoku/>
        <w:wordWrap/>
        <w:overflowPunct/>
        <w:topLinePunct w:val="0"/>
        <w:autoSpaceDE/>
        <w:autoSpaceDN/>
        <w:bidi w:val="0"/>
        <w:adjustRightInd/>
        <w:snapToGrid/>
        <w:spacing w:line="550" w:lineRule="exact"/>
        <w:ind w:firstLine="0" w:firstLineChars="0"/>
        <w:jc w:val="center"/>
        <w:textAlignment w:val="auto"/>
        <w:outlineLvl w:val="1"/>
        <w:rPr>
          <w:rFonts w:hint="default" w:ascii="Times New Roman" w:hAnsi="Times New Roman" w:eastAsia="楷体" w:cs="Times New Roman"/>
          <w:b w:val="0"/>
          <w:bCs w:val="0"/>
          <w:sz w:val="32"/>
          <w:szCs w:val="24"/>
        </w:rPr>
      </w:pPr>
      <w:r>
        <w:rPr>
          <w:rFonts w:hint="default" w:ascii="Times New Roman" w:hAnsi="Times New Roman" w:eastAsia="黑体" w:cs="Times New Roman"/>
          <w:b w:val="0"/>
          <w:bCs w:val="0"/>
          <w:sz w:val="32"/>
          <w:szCs w:val="24"/>
        </w:rPr>
        <w:t>第一节 区域概况</w:t>
      </w:r>
      <w:bookmarkEnd w:id="7"/>
      <w:bookmarkEnd w:id="8"/>
    </w:p>
    <w:p>
      <w:pPr>
        <w:keepNext w:val="0"/>
        <w:keepLines w:val="0"/>
        <w:pageBreakBefore w:val="0"/>
        <w:widowControl w:val="0"/>
        <w:kinsoku/>
        <w:wordWrap/>
        <w:overflowPunct/>
        <w:topLinePunct w:val="0"/>
        <w:autoSpaceDE/>
        <w:autoSpaceDN/>
        <w:bidi w:val="0"/>
        <w:adjustRightInd/>
        <w:snapToGrid/>
        <w:spacing w:line="550" w:lineRule="exact"/>
        <w:ind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兴安县位于广西东北部的湘桂走廊，属桂林市辖县，地处湘江、漓江两江源头，坐拥华南第一高峰，拥有一流的环境、一流的森林、一流的水质，全面实施“生态立县”战略，积极融入桂林国家可持续发展议程创新示范区建设。</w:t>
      </w:r>
    </w:p>
    <w:p>
      <w:pPr>
        <w:keepNext w:val="0"/>
        <w:keepLines w:val="0"/>
        <w:pageBreakBefore w:val="0"/>
        <w:widowControl w:val="0"/>
        <w:kinsoku/>
        <w:wordWrap/>
        <w:overflowPunct/>
        <w:topLinePunct w:val="0"/>
        <w:autoSpaceDE/>
        <w:autoSpaceDN/>
        <w:bidi w:val="0"/>
        <w:adjustRightInd/>
        <w:snapToGrid/>
        <w:spacing w:line="550" w:lineRule="exact"/>
        <w:ind w:firstLine="562"/>
        <w:textAlignment w:val="auto"/>
        <w:rPr>
          <w:rFonts w:hint="default" w:ascii="Times New Roman" w:hAnsi="Times New Roman" w:cs="Times New Roman"/>
          <w:sz w:val="28"/>
          <w:szCs w:val="28"/>
        </w:rPr>
      </w:pPr>
      <w:r>
        <w:rPr>
          <w:rFonts w:hint="default" w:ascii="Times New Roman" w:hAnsi="Times New Roman" w:cs="Times New Roman"/>
          <w:b/>
          <w:bCs/>
          <w:sz w:val="28"/>
          <w:szCs w:val="28"/>
        </w:rPr>
        <w:t>凭山负水，桂北要塞。</w:t>
      </w:r>
      <w:r>
        <w:rPr>
          <w:rFonts w:hint="default" w:ascii="Times New Roman" w:hAnsi="Times New Roman" w:eastAsia="仿宋_GB2312" w:cs="Times New Roman"/>
          <w:sz w:val="28"/>
          <w:szCs w:val="28"/>
        </w:rPr>
        <w:t>兴安县地处越城岭与海洋山两大山脉的湘桂走廊之中，河流水系发达，境内河流分属长江流域的湘江水系和珠江流域的西江水系两大类。县城南距“山水甲天下”的桂林市区57公里、两江国际机场</w:t>
      </w:r>
      <w:r>
        <w:rPr>
          <w:rFonts w:hint="default" w:ascii="Times New Roman" w:hAnsi="Times New Roman" w:cs="Times New Roman"/>
          <w:sz w:val="28"/>
          <w:szCs w:val="28"/>
          <w:lang w:val="en-US" w:eastAsia="zh-CN"/>
        </w:rPr>
        <w:t>88</w:t>
      </w:r>
      <w:r>
        <w:rPr>
          <w:rFonts w:hint="default" w:ascii="Times New Roman" w:hAnsi="Times New Roman" w:eastAsia="仿宋_GB2312" w:cs="Times New Roman"/>
          <w:sz w:val="28"/>
          <w:szCs w:val="28"/>
        </w:rPr>
        <w:t>公里，西距旅游胜地华南第一峰猫儿山</w:t>
      </w:r>
      <w:r>
        <w:rPr>
          <w:rFonts w:hint="default" w:ascii="Times New Roman" w:hAnsi="Times New Roman" w:cs="Times New Roman"/>
          <w:sz w:val="28"/>
          <w:szCs w:val="28"/>
          <w:lang w:val="en-US" w:eastAsia="zh-CN"/>
        </w:rPr>
        <w:t>60</w:t>
      </w:r>
      <w:r>
        <w:rPr>
          <w:rFonts w:hint="default" w:ascii="Times New Roman" w:hAnsi="Times New Roman" w:eastAsia="仿宋_GB2312" w:cs="Times New Roman"/>
          <w:sz w:val="28"/>
          <w:szCs w:val="28"/>
        </w:rPr>
        <w:t>公里，是桂北地区商品运输及旅游观光的必经之地。</w:t>
      </w:r>
    </w:p>
    <w:p>
      <w:pPr>
        <w:keepNext w:val="0"/>
        <w:keepLines w:val="0"/>
        <w:pageBreakBefore w:val="0"/>
        <w:widowControl w:val="0"/>
        <w:kinsoku/>
        <w:wordWrap/>
        <w:overflowPunct/>
        <w:topLinePunct w:val="0"/>
        <w:autoSpaceDE/>
        <w:autoSpaceDN/>
        <w:bidi w:val="0"/>
        <w:adjustRightInd/>
        <w:snapToGrid/>
        <w:spacing w:line="550" w:lineRule="exact"/>
        <w:ind w:firstLine="562"/>
        <w:textAlignment w:val="auto"/>
        <w:rPr>
          <w:rFonts w:hint="default" w:ascii="Times New Roman" w:hAnsi="Times New Roman" w:cs="Times New Roman"/>
          <w:sz w:val="28"/>
          <w:szCs w:val="28"/>
        </w:rPr>
      </w:pPr>
      <w:r>
        <w:rPr>
          <w:rFonts w:hint="default" w:ascii="Times New Roman" w:hAnsi="Times New Roman" w:cs="Times New Roman"/>
          <w:b/>
          <w:bCs/>
          <w:sz w:val="28"/>
          <w:szCs w:val="28"/>
        </w:rPr>
        <w:t>绿色发展，质效提升。</w:t>
      </w:r>
      <w:r>
        <w:rPr>
          <w:rFonts w:hint="default" w:ascii="Times New Roman" w:hAnsi="Times New Roman" w:eastAsia="仿宋_GB2312" w:cs="Times New Roman"/>
          <w:sz w:val="28"/>
          <w:szCs w:val="28"/>
        </w:rPr>
        <w:t>全县国土面积2332平方公里，下辖</w:t>
      </w:r>
      <w:r>
        <w:rPr>
          <w:rFonts w:hint="default" w:ascii="Times New Roman" w:hAnsi="Times New Roman" w:cs="Times New Roman"/>
          <w:sz w:val="28"/>
          <w:szCs w:val="28"/>
          <w:lang w:val="en-US" w:eastAsia="zh-CN"/>
        </w:rPr>
        <w:t>4</w:t>
      </w:r>
      <w:r>
        <w:rPr>
          <w:rFonts w:hint="default" w:ascii="Times New Roman" w:hAnsi="Times New Roman" w:eastAsia="仿宋_GB2312" w:cs="Times New Roman"/>
          <w:sz w:val="28"/>
          <w:szCs w:val="28"/>
        </w:rPr>
        <w:t>乡6镇，常住人口达30.76万人，城镇化率为39.2%，中等城市发展已初具规模。全县生产总值实现166.99亿元，三次产业产业结构45.0:17.5:37.5，绿色生态水泥、新型墙体材料、环保石材加工等支柱产业引领作用大，风电、光伏等新能源产业迅猛发展，产业绿色发展具备良好基础。</w:t>
      </w:r>
    </w:p>
    <w:p>
      <w:pPr>
        <w:keepNext w:val="0"/>
        <w:keepLines w:val="0"/>
        <w:pageBreakBefore w:val="0"/>
        <w:widowControl w:val="0"/>
        <w:kinsoku/>
        <w:wordWrap/>
        <w:overflowPunct/>
        <w:topLinePunct w:val="0"/>
        <w:autoSpaceDE/>
        <w:autoSpaceDN/>
        <w:bidi w:val="0"/>
        <w:adjustRightInd/>
        <w:snapToGrid/>
        <w:spacing w:line="550" w:lineRule="exact"/>
        <w:ind w:firstLine="562"/>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资源禀赋，文化交融。</w:t>
      </w:r>
      <w:r>
        <w:rPr>
          <w:rFonts w:hint="default" w:ascii="Times New Roman" w:hAnsi="Times New Roman" w:eastAsia="仿宋_GB2312" w:cs="Times New Roman"/>
          <w:sz w:val="28"/>
          <w:szCs w:val="28"/>
        </w:rPr>
        <w:t>兴安县拥有得天独厚的自然条件，水、矿产、生物资源丰富。境内矿产资源种类多、储量大，目前已发现有铁、锰、铅、锌、钨、锑、金、重晶石、方解石、钾长石、大理岩、石灰岩等24种矿种；境内有猫儿山国家级保护区和海洋山自治区级自然保护区，森林植物资源十分丰富，目前已记录到野生动物112种、植物800余种。兴安县是中原文化和岭南文化交汇之地，历史文化底蕴深厚。</w:t>
      </w:r>
    </w:p>
    <w:p>
      <w:pPr>
        <w:pStyle w:val="11"/>
        <w:ind w:firstLine="360"/>
        <w:rPr>
          <w:rFonts w:hint="default" w:ascii="Times New Roman" w:hAnsi="Times New Roman" w:cs="Times New Roman"/>
        </w:rPr>
      </w:pPr>
    </w:p>
    <w:p>
      <w:pPr>
        <w:ind w:firstLine="0" w:firstLineChars="0"/>
        <w:jc w:val="center"/>
        <w:outlineLvl w:val="1"/>
        <w:rPr>
          <w:rFonts w:hint="default" w:ascii="Times New Roman" w:hAnsi="Times New Roman" w:eastAsia="黑体" w:cs="Times New Roman"/>
          <w:b w:val="0"/>
          <w:bCs w:val="0"/>
          <w:sz w:val="32"/>
          <w:szCs w:val="24"/>
        </w:rPr>
      </w:pPr>
      <w:bookmarkStart w:id="9" w:name="_Toc153528941"/>
      <w:bookmarkStart w:id="10" w:name="_Toc151734531"/>
      <w:r>
        <w:rPr>
          <w:rFonts w:hint="default" w:ascii="Times New Roman" w:hAnsi="Times New Roman" w:eastAsia="黑体" w:cs="Times New Roman"/>
          <w:b w:val="0"/>
          <w:bCs w:val="0"/>
          <w:sz w:val="32"/>
          <w:szCs w:val="24"/>
        </w:rPr>
        <w:t>第二节 建设基础</w:t>
      </w:r>
      <w:bookmarkEnd w:id="9"/>
      <w:bookmarkEnd w:id="10"/>
    </w:p>
    <w:p>
      <w:pPr>
        <w:ind w:firstLine="562"/>
        <w:rPr>
          <w:rFonts w:hint="default" w:ascii="Times New Roman" w:hAnsi="Times New Roman" w:cs="Times New Roman"/>
          <w:sz w:val="28"/>
          <w:szCs w:val="28"/>
        </w:rPr>
      </w:pPr>
      <w:r>
        <w:rPr>
          <w:rFonts w:hint="default" w:ascii="Times New Roman" w:hAnsi="Times New Roman" w:cs="Times New Roman"/>
          <w:b/>
          <w:bCs/>
          <w:sz w:val="28"/>
          <w:szCs w:val="28"/>
        </w:rPr>
        <w:t>生态制度建设日臻完善。</w:t>
      </w:r>
      <w:r>
        <w:rPr>
          <w:rFonts w:hint="default" w:ascii="Times New Roman" w:hAnsi="Times New Roman" w:cs="Times New Roman"/>
          <w:sz w:val="28"/>
          <w:szCs w:val="28"/>
        </w:rPr>
        <w:t>坚持高位推进，强化组织领导。严格落实生态环境保护“党政同责、一岗双责”制度，全面统筹协调推进全县生态文明建设和生态环境保护工作。充分发挥绩效考核“指挥棒”作用，把生态文明建设纳入党政机关绩效考核指标体系，强化生态环境保护约束，切实提高生态文明建设成效。加强执法监管，完善制度衔接。以中央环保督察为契机，推动构建环境“大监管”“大执法”体系，严厉打击环境违法行为，环境执法工作不断深化并取得一定的成效。在推进过程中，将中央环保督察整改与环境质量改善“三大战役”攻坚战结合起来，将中央环保督察整改与完善环保工作体制机制结合起来，按照中央环保督察整改工作要求，精准发力，强化举措，举一反三，标本兼治，以“钉钉子”精神全力推进各项整改任务的落实。</w:t>
      </w:r>
    </w:p>
    <w:p>
      <w:pPr>
        <w:ind w:firstLine="562"/>
        <w:rPr>
          <w:rFonts w:hint="default" w:ascii="Times New Roman" w:hAnsi="Times New Roman" w:cs="Times New Roman"/>
          <w:b/>
          <w:bCs/>
          <w:sz w:val="28"/>
          <w:szCs w:val="28"/>
        </w:rPr>
      </w:pPr>
      <w:r>
        <w:rPr>
          <w:rFonts w:hint="default" w:ascii="Times New Roman" w:hAnsi="Times New Roman" w:cs="Times New Roman"/>
          <w:b/>
          <w:bCs/>
          <w:sz w:val="28"/>
          <w:szCs w:val="28"/>
        </w:rPr>
        <w:t>生态环境质量持续改善。</w:t>
      </w:r>
      <w:r>
        <w:rPr>
          <w:rFonts w:hint="default" w:ascii="Times New Roman" w:hAnsi="Times New Roman" w:eastAsia="仿宋_GB2312" w:cs="Times New Roman"/>
          <w:sz w:val="28"/>
          <w:szCs w:val="28"/>
        </w:rPr>
        <w:t>兴安县始终坚持“生态立县”发展战略，深入推进生态环境保护和生态文明建设，持续打好污染防治攻坚战，全面实施“蓝天、碧水、净土”三大行动。2022年，全县空气质量优良天数达到344天，优良率达94.2%，环境空气质量综合指数为2.66，全市排名第6；地表水监测断面水质均符合或优于Ⅱ类标准，污染物浓度处于较低水平，各项监测评价指标的达标率为100%；土壤环境质量良好，近三年无土壤污染风险或需要修复的地块；区域声环境和道路交通声功能质量监测点位均达标，环境质量较好。</w:t>
      </w:r>
    </w:p>
    <w:p>
      <w:pPr>
        <w:ind w:firstLine="562"/>
        <w:rPr>
          <w:rFonts w:hint="default" w:ascii="Times New Roman" w:hAnsi="Times New Roman" w:eastAsia="仿宋_GB2312" w:cs="Times New Roman"/>
          <w:sz w:val="28"/>
          <w:szCs w:val="28"/>
        </w:rPr>
      </w:pPr>
      <w:r>
        <w:rPr>
          <w:rFonts w:hint="default" w:ascii="Times New Roman" w:hAnsi="Times New Roman" w:cs="Times New Roman"/>
          <w:b/>
          <w:bCs/>
          <w:sz w:val="28"/>
          <w:szCs w:val="28"/>
        </w:rPr>
        <w:t>绿地空间格局不断优化。</w:t>
      </w:r>
      <w:r>
        <w:rPr>
          <w:rFonts w:hint="default" w:ascii="Times New Roman" w:hAnsi="Times New Roman" w:eastAsia="仿宋_GB2312" w:cs="Times New Roman"/>
          <w:sz w:val="28"/>
          <w:szCs w:val="28"/>
        </w:rPr>
        <w:t>坚持保护优先，合理安排生态、生活、生产空间，构建“两屏两廊五核多点”的生态保护空间格局。结合兴安县资源环境承载能力分析和国土空间开发适宜性评价成果，划定生态保护红线面积778.55平方公里，占国土面积33.38%，全县共有2处自然保护地，总面积为164.93平方公里，并构建了以“三线一单”（生态保护红线、环境质量底线、资源利用上线和生态环境准入清单）为核心的生态环境分区管控体系。城乡绿化品质持续提升，县域林草覆盖率78.97%，城镇人均公园绿地面积提高到26.93平方米，宜居宜业宜游的城市形象进一步呈现。生态环境质量保持优良，且逐年持续改善，2022年生态质量指数（EQI）达到77.27，生态环境状况分级为优。</w:t>
      </w:r>
    </w:p>
    <w:p>
      <w:pPr>
        <w:ind w:firstLine="562"/>
        <w:rPr>
          <w:rFonts w:hint="default" w:ascii="Times New Roman" w:hAnsi="Times New Roman" w:eastAsia="仿宋_GB2312" w:cs="Times New Roman"/>
          <w:sz w:val="28"/>
          <w:szCs w:val="28"/>
        </w:rPr>
      </w:pPr>
      <w:r>
        <w:rPr>
          <w:rFonts w:hint="default" w:ascii="Times New Roman" w:hAnsi="Times New Roman" w:cs="Times New Roman"/>
          <w:b/>
          <w:bCs/>
          <w:sz w:val="28"/>
          <w:szCs w:val="28"/>
        </w:rPr>
        <w:t>生态经济发展成效初显。</w:t>
      </w:r>
      <w:r>
        <w:rPr>
          <w:rFonts w:hint="default" w:ascii="Times New Roman" w:hAnsi="Times New Roman" w:eastAsia="仿宋_GB2312" w:cs="Times New Roman"/>
          <w:sz w:val="28"/>
          <w:szCs w:val="28"/>
        </w:rPr>
        <w:t>坚持走绿色、生态的高质量发展道路，深入推进工业产业转型升级。县工业集中区、碳酸钙科技产业园、汽车部件产业园成为工业项目的主要承载平台。新能源、碳酸钙精深加工、生态建材、农产品深加工、汽车部件五大产业集群初具规模。目前全县已建立以风力发电为主的新能源产业总装机容量达70万千瓦、年发电14.5亿度，成为广西新能源重要基地。生态农业助产增收，种植葡萄13.5万亩、柑橘17万亩；加大示范基地建设，推动现代特色农业核心示范区建设增点扩面、提质升级，创建灵渠葡萄、红色湘江蜜桔、金满田园粮食、猫儿山竹海等10个自治区、市、县级现代特色农业核心示范区。</w:t>
      </w:r>
    </w:p>
    <w:p>
      <w:pPr>
        <w:ind w:firstLine="562"/>
        <w:rPr>
          <w:rFonts w:hint="default" w:ascii="Times New Roman" w:hAnsi="Times New Roman" w:eastAsia="仿宋_GB2312" w:cs="Times New Roman"/>
          <w:sz w:val="28"/>
          <w:szCs w:val="28"/>
        </w:rPr>
      </w:pPr>
      <w:r>
        <w:rPr>
          <w:rFonts w:hint="default" w:ascii="Times New Roman" w:hAnsi="Times New Roman" w:cs="Times New Roman"/>
          <w:b/>
          <w:bCs/>
          <w:sz w:val="28"/>
          <w:szCs w:val="28"/>
        </w:rPr>
        <w:t>生态宜居水平显著提高。</w:t>
      </w:r>
      <w:r>
        <w:rPr>
          <w:rFonts w:hint="default" w:ascii="Times New Roman" w:hAnsi="Times New Roman" w:eastAsia="仿宋_GB2312" w:cs="Times New Roman"/>
          <w:sz w:val="28"/>
          <w:szCs w:val="28"/>
        </w:rPr>
        <w:t>兴安县持续加大环保基础设施建设力度，推进现有县城区污水处理厂提标改造，实施乡（镇）污水处理厂及配套管网建设。截</w:t>
      </w:r>
      <w:r>
        <w:rPr>
          <w:rFonts w:hint="eastAsia" w:cs="Times New Roman"/>
          <w:sz w:val="28"/>
          <w:szCs w:val="28"/>
          <w:lang w:eastAsia="zh-CN"/>
        </w:rPr>
        <w:t>至</w:t>
      </w:r>
      <w:r>
        <w:rPr>
          <w:rFonts w:hint="default" w:ascii="Times New Roman" w:hAnsi="Times New Roman" w:eastAsia="仿宋_GB2312" w:cs="Times New Roman"/>
          <w:sz w:val="28"/>
          <w:szCs w:val="28"/>
        </w:rPr>
        <w:t>目前，全县已建成2座县级污水处理厂、</w:t>
      </w:r>
      <w:r>
        <w:rPr>
          <w:rFonts w:hint="default" w:ascii="Times New Roman" w:hAnsi="Times New Roman" w:cs="Times New Roman"/>
          <w:sz w:val="28"/>
          <w:szCs w:val="28"/>
          <w:lang w:val="en-US" w:eastAsia="zh-CN"/>
        </w:rPr>
        <w:t>4</w:t>
      </w:r>
      <w:r>
        <w:rPr>
          <w:rFonts w:hint="default" w:ascii="Times New Roman" w:hAnsi="Times New Roman" w:eastAsia="仿宋_GB2312" w:cs="Times New Roman"/>
          <w:sz w:val="28"/>
          <w:szCs w:val="28"/>
        </w:rPr>
        <w:t>个乡（镇）污水处理系统工程。持续深化城乡环卫一体化改革、乡（镇）集镇及农村环卫市场化改革，率先建成海螺水泥窑协同处置城市生活垃圾项目，日处理垃圾能力达300吨，实现了生活垃圾县域全处理。深入实施农村人居环境提升行动，广泛开展村庄清洁、农房管控、大棚房整治，推进“三微”“三清三拆”“四化五网六改”等工作，高质量完成30个“两高”沿村庄和1033个基本整治型村庄的整治，农村卫生厕所普及率达到80.62%，农村人居环境得到有效改善，农民幸福感不断提升。</w:t>
      </w:r>
    </w:p>
    <w:p>
      <w:pPr>
        <w:ind w:firstLine="562"/>
        <w:rPr>
          <w:rFonts w:hint="default" w:ascii="Times New Roman" w:hAnsi="Times New Roman" w:cs="Times New Roman"/>
          <w:sz w:val="28"/>
          <w:szCs w:val="28"/>
        </w:rPr>
      </w:pPr>
      <w:r>
        <w:rPr>
          <w:rFonts w:hint="default" w:ascii="Times New Roman" w:hAnsi="Times New Roman" w:cs="Times New Roman"/>
          <w:b/>
          <w:bCs/>
          <w:sz w:val="28"/>
          <w:szCs w:val="28"/>
        </w:rPr>
        <w:t>生态文明理念深入人心。</w:t>
      </w:r>
      <w:r>
        <w:rPr>
          <w:rFonts w:hint="default" w:ascii="Times New Roman" w:hAnsi="Times New Roman" w:cs="Times New Roman"/>
          <w:sz w:val="28"/>
          <w:szCs w:val="28"/>
        </w:rPr>
        <w:t>生态文化广泛传播，以六五环境日、生物多样性日、全国低碳日、世界水日以及春节等重大纪念日和节假日为契机，开展形式多样的生态文明宣传活动，生态文明意识日趋深入人心。生态文化品牌影响力初显成效，深入挖掘和整理灵渠文化、猫儿山老山界红色文化、竹文化、茶文化等特色地域文化，策划一批旅客参与性强、具有兴安特色和较高水准的民俗文化节目，吸引了众多游客参与其中，提升了人民群众的生态文化自信。生态文化基础设施日益完善，目前兴安县建有县图书馆、灵渠博物</w:t>
      </w:r>
      <w:r>
        <w:rPr>
          <w:rFonts w:hint="default" w:ascii="Times New Roman" w:hAnsi="Times New Roman" w:cs="Times New Roman"/>
          <w:sz w:val="28"/>
          <w:szCs w:val="28"/>
          <w:lang w:eastAsia="zh-CN"/>
        </w:rPr>
        <w:t>院</w:t>
      </w:r>
      <w:r>
        <w:rPr>
          <w:rFonts w:hint="default" w:ascii="Times New Roman" w:hAnsi="Times New Roman" w:cs="Times New Roman"/>
          <w:sz w:val="28"/>
          <w:szCs w:val="28"/>
        </w:rPr>
        <w:t>。</w:t>
      </w:r>
    </w:p>
    <w:p>
      <w:pPr>
        <w:ind w:firstLine="0" w:firstLineChars="0"/>
        <w:jc w:val="center"/>
        <w:outlineLvl w:val="1"/>
        <w:rPr>
          <w:rFonts w:hint="default" w:ascii="Times New Roman" w:hAnsi="Times New Roman" w:eastAsia="仿宋_GB2312" w:cs="Times New Roman"/>
          <w:sz w:val="32"/>
          <w:szCs w:val="24"/>
        </w:rPr>
      </w:pPr>
      <w:bookmarkStart w:id="11" w:name="_Toc151734532"/>
      <w:bookmarkStart w:id="12" w:name="_Toc153528942"/>
    </w:p>
    <w:p>
      <w:pPr>
        <w:ind w:firstLine="0" w:firstLineChars="0"/>
        <w:jc w:val="center"/>
        <w:outlineLvl w:val="1"/>
        <w:rPr>
          <w:rFonts w:hint="default" w:ascii="Times New Roman" w:hAnsi="Times New Roman" w:eastAsia="黑体" w:cs="Times New Roman"/>
          <w:b w:val="0"/>
          <w:bCs w:val="0"/>
          <w:sz w:val="32"/>
          <w:szCs w:val="24"/>
        </w:rPr>
      </w:pPr>
      <w:r>
        <w:rPr>
          <w:rFonts w:hint="default" w:ascii="Times New Roman" w:hAnsi="Times New Roman" w:eastAsia="黑体" w:cs="Times New Roman"/>
          <w:b w:val="0"/>
          <w:bCs w:val="0"/>
          <w:sz w:val="32"/>
          <w:szCs w:val="24"/>
        </w:rPr>
        <w:t xml:space="preserve">第三节 </w:t>
      </w:r>
      <w:bookmarkEnd w:id="11"/>
      <w:r>
        <w:rPr>
          <w:rFonts w:hint="default" w:ascii="Times New Roman" w:hAnsi="Times New Roman" w:eastAsia="黑体" w:cs="Times New Roman"/>
          <w:b w:val="0"/>
          <w:bCs w:val="0"/>
          <w:sz w:val="32"/>
          <w:szCs w:val="24"/>
        </w:rPr>
        <w:t>存在问题</w:t>
      </w:r>
      <w:bookmarkEnd w:id="12"/>
    </w:p>
    <w:p>
      <w:pPr>
        <w:ind w:firstLine="562"/>
        <w:rPr>
          <w:rFonts w:hint="default" w:ascii="Times New Roman" w:hAnsi="Times New Roman" w:cs="Times New Roman"/>
          <w:sz w:val="28"/>
          <w:szCs w:val="28"/>
        </w:rPr>
      </w:pPr>
      <w:r>
        <w:rPr>
          <w:rFonts w:hint="default" w:ascii="Times New Roman" w:hAnsi="Times New Roman" w:cs="Times New Roman"/>
          <w:b/>
          <w:bCs/>
          <w:sz w:val="28"/>
          <w:szCs w:val="28"/>
        </w:rPr>
        <w:t>县域经济总量偏小，产业结构有待优化。</w:t>
      </w:r>
      <w:r>
        <w:rPr>
          <w:rFonts w:hint="default" w:ascii="Times New Roman" w:hAnsi="Times New Roman" w:cs="Times New Roman"/>
          <w:sz w:val="28"/>
          <w:szCs w:val="28"/>
        </w:rPr>
        <w:t>规模企业数量少，培育难度大，企业创新能力不强。由于深层次的结构性因素及历史遗留因素，财政收支矛盾仍异常尖锐，刚性支出缺口很大，已成为制约兴安发展的主要因素之一。产业结构不够合理，农业大而不强且优势正在失去，工业发展依赖资源且结构单一，旅游“三产”发展滞后，高新技术产业和战略性新兴产业比重偏低，驱动县域发展的后劲不足。</w:t>
      </w:r>
    </w:p>
    <w:p>
      <w:pPr>
        <w:keepNext w:val="0"/>
        <w:keepLines w:val="0"/>
        <w:pageBreakBefore w:val="0"/>
        <w:widowControl w:val="0"/>
        <w:kinsoku/>
        <w:wordWrap/>
        <w:overflowPunct/>
        <w:topLinePunct w:val="0"/>
        <w:autoSpaceDE/>
        <w:autoSpaceDN/>
        <w:bidi w:val="0"/>
        <w:adjustRightInd/>
        <w:snapToGrid/>
        <w:spacing w:line="360" w:lineRule="auto"/>
        <w:ind w:firstLine="562"/>
        <w:textAlignment w:val="auto"/>
        <w:rPr>
          <w:rFonts w:hint="default" w:ascii="Times New Roman" w:hAnsi="Times New Roman" w:eastAsia="仿宋_GB2312" w:cs="Times New Roman"/>
          <w:color w:val="auto"/>
          <w:sz w:val="28"/>
          <w:szCs w:val="28"/>
        </w:rPr>
      </w:pPr>
      <w:r>
        <w:rPr>
          <w:rFonts w:hint="default" w:ascii="Times New Roman" w:hAnsi="Times New Roman" w:cs="Times New Roman"/>
          <w:b/>
          <w:bCs/>
          <w:sz w:val="28"/>
          <w:szCs w:val="28"/>
        </w:rPr>
        <w:t>山区地带生态敏感脆弱，生态保护和修复压力大。</w:t>
      </w:r>
      <w:r>
        <w:rPr>
          <w:rFonts w:hint="default" w:ascii="Times New Roman" w:hAnsi="Times New Roman" w:eastAsia="仿宋_GB2312" w:cs="Times New Roman"/>
          <w:color w:val="auto"/>
          <w:sz w:val="28"/>
          <w:szCs w:val="28"/>
        </w:rPr>
        <w:t>兴安县地处桂北生态屏障内，25度以上陡坡占国土空间面积56.91%，境内山地面积占比过半，是广西石漠化较为严重的地区之一，石漠化与水土严重流失恶性循环，导致生态系统结构稳定性变差。经治理后全县石漠化趋势虽有所减缓，但中度以上石漠化面积仍有 4559.18 公顷,集中分布于兴安镇、高尚镇、漠川乡和白石乡一带。加强石漠化地区的生态治理与监控，修复破损的生态系统，恢复生态系统的生态功能任重而道远。</w:t>
      </w:r>
    </w:p>
    <w:p>
      <w:pPr>
        <w:pStyle w:val="13"/>
        <w:keepNext w:val="0"/>
        <w:keepLines w:val="0"/>
        <w:pageBreakBefore w:val="0"/>
        <w:widowControl w:val="0"/>
        <w:kinsoku/>
        <w:wordWrap/>
        <w:overflowPunct/>
        <w:topLinePunct w:val="0"/>
        <w:autoSpaceDE/>
        <w:autoSpaceDN/>
        <w:bidi w:val="0"/>
        <w:adjustRightInd/>
        <w:snapToGrid/>
        <w:spacing w:line="360" w:lineRule="auto"/>
        <w:ind w:firstLine="562"/>
        <w:textAlignment w:val="auto"/>
        <w:rPr>
          <w:rFonts w:hint="default" w:ascii="Times New Roman" w:hAnsi="Times New Roman" w:cs="Times New Roman"/>
          <w:sz w:val="28"/>
          <w:szCs w:val="28"/>
          <w:lang w:bidi="ar"/>
        </w:rPr>
      </w:pPr>
      <w:r>
        <w:rPr>
          <w:rFonts w:hint="default" w:ascii="Times New Roman" w:hAnsi="Times New Roman" w:cs="Times New Roman"/>
          <w:b/>
          <w:bCs/>
          <w:sz w:val="28"/>
          <w:szCs w:val="28"/>
          <w:lang w:bidi="ar"/>
        </w:rPr>
        <w:t>农业生产方式仍然粗放，农村基础设施建设亟待加强。</w:t>
      </w:r>
      <w:r>
        <w:rPr>
          <w:rFonts w:hint="default" w:ascii="Times New Roman" w:hAnsi="Times New Roman" w:eastAsia="仿宋_GB2312" w:cs="Times New Roman"/>
          <w:sz w:val="28"/>
          <w:szCs w:val="28"/>
          <w:lang w:bidi="ar"/>
        </w:rPr>
        <w:t>兴安县农药化肥使用量仍在逐年增加，秸秆综合利用率仍不理想，呈逐年下降趋势，对水环境、大气环境都造成一定压力。农村供水、污水处理基础设施仍存在短板，村镇饮用水卫生合格率未达到100%，农村生活污水治理率低于10%。</w:t>
      </w:r>
    </w:p>
    <w:p>
      <w:pPr>
        <w:ind w:firstLine="0" w:firstLineChars="0"/>
        <w:jc w:val="center"/>
        <w:outlineLvl w:val="1"/>
        <w:rPr>
          <w:rFonts w:hint="default" w:ascii="Times New Roman" w:hAnsi="Times New Roman" w:eastAsia="楷体" w:cs="Times New Roman"/>
          <w:sz w:val="32"/>
          <w:szCs w:val="24"/>
        </w:rPr>
      </w:pPr>
      <w:bookmarkStart w:id="13" w:name="_Toc153528943"/>
    </w:p>
    <w:p>
      <w:pPr>
        <w:ind w:firstLine="0" w:firstLineChars="0"/>
        <w:jc w:val="center"/>
        <w:outlineLvl w:val="1"/>
        <w:rPr>
          <w:rFonts w:hint="default" w:ascii="Times New Roman" w:hAnsi="Times New Roman" w:eastAsia="黑体" w:cs="Times New Roman"/>
          <w:b w:val="0"/>
          <w:bCs w:val="0"/>
          <w:sz w:val="32"/>
          <w:szCs w:val="24"/>
        </w:rPr>
      </w:pPr>
      <w:r>
        <w:rPr>
          <w:rFonts w:hint="default" w:ascii="Times New Roman" w:hAnsi="Times New Roman" w:eastAsia="黑体" w:cs="Times New Roman"/>
          <w:b w:val="0"/>
          <w:bCs w:val="0"/>
          <w:sz w:val="32"/>
          <w:szCs w:val="24"/>
        </w:rPr>
        <w:t>第四节 压力分析</w:t>
      </w:r>
      <w:bookmarkEnd w:id="13"/>
    </w:p>
    <w:p>
      <w:pPr>
        <w:ind w:firstLine="562"/>
        <w:rPr>
          <w:rFonts w:hint="default" w:ascii="Times New Roman" w:hAnsi="Times New Roman" w:cs="Times New Roman"/>
          <w:bCs/>
          <w:sz w:val="28"/>
          <w:szCs w:val="28"/>
        </w:rPr>
      </w:pPr>
      <w:r>
        <w:rPr>
          <w:rFonts w:hint="default" w:ascii="Times New Roman" w:hAnsi="Times New Roman" w:cs="Times New Roman"/>
          <w:b/>
          <w:bCs/>
          <w:sz w:val="28"/>
          <w:szCs w:val="28"/>
        </w:rPr>
        <w:t>一是转变发展方式难度加大，传统发展模式威胁依然存在。</w:t>
      </w:r>
      <w:r>
        <w:rPr>
          <w:rFonts w:hint="default" w:ascii="Times New Roman" w:hAnsi="Times New Roman" w:cs="Times New Roman"/>
          <w:bCs/>
          <w:sz w:val="28"/>
          <w:szCs w:val="28"/>
        </w:rPr>
        <w:t>目前兴安县相对粗放的经济发展方式尚未根本扭转，持续推进工业化、城镇化面临较大的环境压力。区域发展不平衡不协调矛盾依然突出，中心城区辐射带动能力不强，镇级经济偏弱，城乡基础设施配套建设差距较大。</w:t>
      </w:r>
    </w:p>
    <w:p>
      <w:pPr>
        <w:ind w:firstLine="562"/>
        <w:rPr>
          <w:rFonts w:hint="default" w:ascii="Times New Roman" w:hAnsi="Times New Roman" w:cs="Times New Roman"/>
          <w:b/>
          <w:bCs/>
          <w:sz w:val="28"/>
          <w:szCs w:val="28"/>
        </w:rPr>
      </w:pPr>
      <w:r>
        <w:rPr>
          <w:rFonts w:hint="default" w:ascii="Times New Roman" w:hAnsi="Times New Roman" w:cs="Times New Roman"/>
          <w:b/>
          <w:bCs/>
          <w:sz w:val="28"/>
          <w:szCs w:val="28"/>
        </w:rPr>
        <w:t>二是生态环境持续改善的压力加大。</w:t>
      </w:r>
      <w:r>
        <w:rPr>
          <w:rFonts w:hint="default" w:ascii="Times New Roman" w:hAnsi="Times New Roman" w:cs="Times New Roman"/>
          <w:sz w:val="28"/>
          <w:szCs w:val="28"/>
        </w:rPr>
        <w:t>随着前期各项大气污染治理措施逐步实施到位，污染减排空间迅速收窄，污染物削减幅度逐年下降，同时受地理气象条件、能源产业结构、经济发展水平等各种因素的制约和影响，兴安县空气质量改善进入“瓶颈期”。环境质量的改善已经到了需要进一步转变发展方式、加大结构调整力度的关键时期。</w:t>
      </w:r>
    </w:p>
    <w:p>
      <w:pPr>
        <w:ind w:firstLine="562"/>
        <w:rPr>
          <w:rFonts w:hint="default" w:ascii="Times New Roman" w:hAnsi="Times New Roman" w:cs="Times New Roman"/>
          <w:b/>
          <w:bCs/>
          <w:sz w:val="28"/>
          <w:szCs w:val="28"/>
        </w:rPr>
      </w:pPr>
      <w:r>
        <w:rPr>
          <w:rFonts w:hint="default" w:ascii="Times New Roman" w:hAnsi="Times New Roman" w:cs="Times New Roman"/>
          <w:b/>
          <w:bCs/>
          <w:sz w:val="28"/>
          <w:szCs w:val="28"/>
        </w:rPr>
        <w:t>三是体制机制与生态文明建设要求不匹配的矛盾。</w:t>
      </w:r>
      <w:r>
        <w:rPr>
          <w:rFonts w:hint="default" w:ascii="Times New Roman" w:hAnsi="Times New Roman" w:eastAsia="仿宋_GB2312" w:cs="Times New Roman"/>
          <w:sz w:val="28"/>
          <w:szCs w:val="28"/>
        </w:rPr>
        <w:t>国家对生态文明机制体制建设不断提出新的要求，兴安县环境管理体制机制尚有待进一步完善。生态环境保护职能分散、统筹协调环境保护的难度较大，相关协调配合与协调联动工作机制有待进一步完善。环境监管主要依靠传统手段，对“互联网+”、卫星遥感、无人机船等先进信息技术的创新融合应用才刚刚起步。环境治理主体单一，市场、社会组织和公众的参与度不够，多元化投融资机制尚不完善，难以有效地带动社会资金投入。</w:t>
      </w:r>
    </w:p>
    <w:p>
      <w:pPr>
        <w:ind w:firstLine="0" w:firstLineChars="0"/>
        <w:jc w:val="center"/>
        <w:outlineLvl w:val="1"/>
        <w:rPr>
          <w:rFonts w:hint="default" w:ascii="Times New Roman" w:hAnsi="Times New Roman" w:eastAsia="楷体" w:cs="Times New Roman"/>
          <w:sz w:val="32"/>
          <w:szCs w:val="24"/>
        </w:rPr>
      </w:pPr>
      <w:bookmarkStart w:id="14" w:name="_Toc153528944"/>
      <w:bookmarkStart w:id="15" w:name="_Toc151734533"/>
    </w:p>
    <w:p>
      <w:pPr>
        <w:ind w:firstLine="0" w:firstLineChars="0"/>
        <w:jc w:val="center"/>
        <w:outlineLvl w:val="1"/>
        <w:rPr>
          <w:rFonts w:hint="default" w:ascii="Times New Roman" w:hAnsi="Times New Roman" w:eastAsia="黑体" w:cs="Times New Roman"/>
          <w:b w:val="0"/>
          <w:bCs w:val="0"/>
          <w:sz w:val="32"/>
          <w:szCs w:val="24"/>
        </w:rPr>
      </w:pPr>
      <w:r>
        <w:rPr>
          <w:rFonts w:hint="default" w:ascii="Times New Roman" w:hAnsi="Times New Roman" w:eastAsia="黑体" w:cs="Times New Roman"/>
          <w:b w:val="0"/>
          <w:bCs w:val="0"/>
          <w:sz w:val="32"/>
          <w:szCs w:val="24"/>
        </w:rPr>
        <w:t>第五节 机遇挑战</w:t>
      </w:r>
      <w:bookmarkEnd w:id="14"/>
      <w:bookmarkEnd w:id="15"/>
    </w:p>
    <w:p>
      <w:pPr>
        <w:ind w:firstLine="562"/>
        <w:rPr>
          <w:rFonts w:hint="default" w:ascii="Times New Roman" w:hAnsi="Times New Roman" w:cs="Times New Roman"/>
          <w:sz w:val="28"/>
          <w:szCs w:val="28"/>
        </w:rPr>
      </w:pPr>
      <w:r>
        <w:rPr>
          <w:rFonts w:hint="default" w:ascii="Times New Roman" w:hAnsi="Times New Roman" w:cs="Times New Roman"/>
          <w:b/>
          <w:bCs/>
          <w:sz w:val="28"/>
          <w:szCs w:val="28"/>
        </w:rPr>
        <w:t>党中央国务院高度重视生态文明建设。</w:t>
      </w:r>
      <w:r>
        <w:rPr>
          <w:rFonts w:hint="default" w:ascii="Times New Roman" w:hAnsi="Times New Roman" w:eastAsia="仿宋_GB2312" w:cs="Times New Roman"/>
          <w:sz w:val="28"/>
          <w:szCs w:val="28"/>
        </w:rPr>
        <w:t>党的十九大将“坚持人与自然和谐共生”纳入新时代坚持和发展中国特色社会主义的基本方略，将建设生态文明提升为“中华民族永续发展的千年大计”。十九届五中全会提出了“十四五”经济社会发展主要目标及2035年基本实现社会主义现代化目标，其中生态环境根本好转、美丽中国目标基本实现作为重要目标之一。党的二十大将“人与自然和谐共生”作为中国特色社会主义现代化的基本特征之一，要求加快推进美丽中国建设，加快发展方式绿色转型</w:t>
      </w:r>
      <w:r>
        <w:rPr>
          <w:rFonts w:hint="default" w:ascii="Times New Roman" w:hAnsi="Times New Roman" w:cs="Times New Roman"/>
          <w:sz w:val="28"/>
          <w:szCs w:val="28"/>
          <w:lang w:eastAsia="zh-CN"/>
        </w:rPr>
        <w:t>，</w:t>
      </w:r>
      <w:r>
        <w:rPr>
          <w:rFonts w:hint="default" w:ascii="Times New Roman" w:hAnsi="Times New Roman" w:eastAsia="仿宋_GB2312" w:cs="Times New Roman"/>
          <w:sz w:val="28"/>
          <w:szCs w:val="28"/>
        </w:rPr>
        <w:t>深入推进环境污染防治</w:t>
      </w:r>
      <w:r>
        <w:rPr>
          <w:rFonts w:hint="default" w:ascii="Times New Roman" w:hAnsi="Times New Roman" w:cs="Times New Roman"/>
          <w:sz w:val="28"/>
          <w:szCs w:val="28"/>
          <w:lang w:eastAsia="zh-CN"/>
        </w:rPr>
        <w:t>，</w:t>
      </w:r>
      <w:r>
        <w:rPr>
          <w:rFonts w:hint="default" w:ascii="Times New Roman" w:hAnsi="Times New Roman" w:eastAsia="仿宋_GB2312" w:cs="Times New Roman"/>
          <w:sz w:val="28"/>
          <w:szCs w:val="28"/>
        </w:rPr>
        <w:t>提升生态系统多样性、稳定性、持续性</w:t>
      </w:r>
      <w:r>
        <w:rPr>
          <w:rFonts w:hint="default" w:ascii="Times New Roman" w:hAnsi="Times New Roman" w:cs="Times New Roman"/>
          <w:sz w:val="28"/>
          <w:szCs w:val="28"/>
          <w:lang w:eastAsia="zh-CN"/>
        </w:rPr>
        <w:t>，</w:t>
      </w:r>
      <w:r>
        <w:rPr>
          <w:rFonts w:hint="default" w:ascii="Times New Roman" w:hAnsi="Times New Roman" w:eastAsia="仿宋_GB2312" w:cs="Times New Roman"/>
          <w:sz w:val="28"/>
          <w:szCs w:val="28"/>
        </w:rPr>
        <w:t>积极稳妥推进碳达峰碳中和。2023年7月，习近平总书记在全国生态环境保护大会上强调，要正确处理好高质量发展和高水平保护、重点攻坚和协同治理、自然恢复和人工恢复、外部约束和内生动力、“双碳”承诺和自主行动五个重大关系，对我国生态文明建设提出新要求。</w:t>
      </w:r>
    </w:p>
    <w:p>
      <w:pPr>
        <w:adjustRightInd w:val="0"/>
        <w:ind w:firstLine="562"/>
        <w:rPr>
          <w:rFonts w:hint="default" w:ascii="Times New Roman" w:hAnsi="Times New Roman" w:cs="Times New Roman"/>
          <w:sz w:val="28"/>
          <w:szCs w:val="28"/>
        </w:rPr>
      </w:pPr>
      <w:r>
        <w:rPr>
          <w:rFonts w:hint="default" w:ascii="Times New Roman" w:hAnsi="Times New Roman" w:cs="Times New Roman"/>
          <w:b/>
          <w:bCs/>
          <w:sz w:val="28"/>
          <w:szCs w:val="28"/>
        </w:rPr>
        <w:t>碳达峰目标、碳中和愿景要求生态文明建设实现新进步。</w:t>
      </w:r>
      <w:r>
        <w:rPr>
          <w:rFonts w:hint="default" w:ascii="Times New Roman" w:hAnsi="Times New Roman" w:eastAsia="仿宋_GB2312" w:cs="Times New Roman"/>
          <w:sz w:val="28"/>
          <w:szCs w:val="28"/>
        </w:rPr>
        <w:t>2020年9月，习近平总书记在第七十五届联合国大会一般性辩论上宣布我国力争于2030年前二氧化碳排放达到峰值的目标与努力争取于2060年前实现碳中和的愿景。党的二十大报告提出，要</w:t>
      </w:r>
      <w:r>
        <w:rPr>
          <w:rFonts w:hint="default" w:ascii="Times New Roman" w:hAnsi="Times New Roman" w:eastAsia="仿宋_GB2312" w:cs="Times New Roman"/>
          <w:bCs/>
          <w:sz w:val="28"/>
          <w:szCs w:val="28"/>
        </w:rPr>
        <w:t>统筹产业结构调整、污染治理、生态保护、应对气候变化，协同推进降碳、减污、扩绿、增长</w:t>
      </w:r>
      <w:r>
        <w:rPr>
          <w:rFonts w:hint="default" w:ascii="Times New Roman" w:hAnsi="Times New Roman" w:eastAsia="仿宋_GB2312" w:cs="Times New Roman"/>
          <w:sz w:val="28"/>
          <w:szCs w:val="28"/>
        </w:rPr>
        <w:t>。</w:t>
      </w:r>
      <w:r>
        <w:rPr>
          <w:rFonts w:hint="default" w:ascii="Times New Roman" w:hAnsi="Times New Roman" w:eastAsia="仿宋_GB2312" w:cs="Times New Roman"/>
          <w:bCs/>
          <w:sz w:val="28"/>
          <w:szCs w:val="28"/>
        </w:rPr>
        <w:t>2021年8月30日，习近平总书记在中央全面深化改革委员会第二十一次会议上指出，“十四五”时期，我国生态文明建设进入了</w:t>
      </w:r>
      <w:r>
        <w:rPr>
          <w:rFonts w:hint="default" w:ascii="Times New Roman" w:hAnsi="Times New Roman" w:eastAsia="仿宋_GB2312" w:cs="Times New Roman"/>
          <w:sz w:val="28"/>
          <w:szCs w:val="28"/>
        </w:rPr>
        <w:t>以降碳为重点战略方向、推动减污降碳协同增效、促进经济社会全面绿色转型、实现生态环境质量改善由量变到质变的关键时期。碳达峰碳中和国家战略的总体目标、实现路径与生态文明建设高度统一，为我国全面加强生态文明建设提供了新的着力点。</w:t>
      </w:r>
    </w:p>
    <w:p>
      <w:pPr>
        <w:ind w:firstLine="562"/>
        <w:rPr>
          <w:rFonts w:hint="default" w:ascii="Times New Roman" w:hAnsi="Times New Roman" w:cs="Times New Roman"/>
          <w:sz w:val="28"/>
          <w:szCs w:val="28"/>
        </w:rPr>
      </w:pPr>
      <w:r>
        <w:rPr>
          <w:rFonts w:hint="default" w:ascii="Times New Roman" w:hAnsi="Times New Roman" w:cs="Times New Roman"/>
          <w:b/>
          <w:bCs/>
          <w:sz w:val="28"/>
          <w:szCs w:val="28"/>
        </w:rPr>
        <w:t>厚植生态环境优势推动绿色发展迈出新步伐</w:t>
      </w:r>
      <w:r>
        <w:rPr>
          <w:rFonts w:hint="default" w:ascii="Times New Roman" w:hAnsi="Times New Roman" w:cs="Times New Roman"/>
          <w:b/>
          <w:bCs/>
          <w:sz w:val="28"/>
          <w:szCs w:val="28"/>
          <w:lang w:eastAsia="zh-CN"/>
        </w:rPr>
        <w:t>的</w:t>
      </w:r>
      <w:r>
        <w:rPr>
          <w:rFonts w:hint="default" w:ascii="Times New Roman" w:hAnsi="Times New Roman" w:cs="Times New Roman"/>
          <w:b/>
          <w:bCs/>
          <w:sz w:val="28"/>
          <w:szCs w:val="28"/>
        </w:rPr>
        <w:t>决定等政策为新时代生态文明建设赋予了新的使命任务。</w:t>
      </w:r>
      <w:r>
        <w:rPr>
          <w:rFonts w:hint="default" w:ascii="Times New Roman" w:hAnsi="Times New Roman" w:eastAsia="仿宋_GB2312" w:cs="Times New Roman"/>
          <w:sz w:val="28"/>
          <w:szCs w:val="28"/>
        </w:rPr>
        <w:t>2022年以来，自治区党委、政府相继出台《关于厚植生态环境优势推动绿色发展迈出新步伐的决定》</w:t>
      </w:r>
      <w:r>
        <w:rPr>
          <w:rFonts w:hint="default" w:ascii="Times New Roman" w:hAnsi="Times New Roman" w:cs="Times New Roman"/>
          <w:sz w:val="28"/>
          <w:szCs w:val="28"/>
          <w:lang w:eastAsia="zh-CN"/>
        </w:rPr>
        <w:t>（桂发〔</w:t>
      </w:r>
      <w:r>
        <w:rPr>
          <w:rFonts w:hint="default" w:ascii="Times New Roman" w:hAnsi="Times New Roman" w:cs="Times New Roman"/>
          <w:sz w:val="28"/>
          <w:szCs w:val="28"/>
          <w:lang w:val="en-US" w:eastAsia="zh-CN"/>
        </w:rPr>
        <w:t>2022</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10号）</w:t>
      </w:r>
      <w:r>
        <w:rPr>
          <w:rFonts w:hint="default" w:ascii="Times New Roman" w:hAnsi="Times New Roman" w:eastAsia="仿宋_GB2312" w:cs="Times New Roman"/>
          <w:sz w:val="28"/>
          <w:szCs w:val="28"/>
        </w:rPr>
        <w:t>、《关于完整准确全面贯彻新发展理念做好碳达峰碳中和工作的实施意见》</w:t>
      </w:r>
      <w:r>
        <w:rPr>
          <w:rFonts w:hint="default" w:ascii="Times New Roman" w:hAnsi="Times New Roman" w:cs="Times New Roman"/>
          <w:sz w:val="28"/>
          <w:szCs w:val="28"/>
          <w:lang w:eastAsia="zh-CN"/>
        </w:rPr>
        <w:t>（桂发〔</w:t>
      </w:r>
      <w:r>
        <w:rPr>
          <w:rFonts w:hint="default" w:ascii="Times New Roman" w:hAnsi="Times New Roman" w:cs="Times New Roman"/>
          <w:sz w:val="28"/>
          <w:szCs w:val="28"/>
          <w:lang w:val="en-US" w:eastAsia="zh-CN"/>
        </w:rPr>
        <w:t>2022</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12号）</w:t>
      </w:r>
      <w:r>
        <w:rPr>
          <w:rFonts w:hint="default" w:ascii="Times New Roman" w:hAnsi="Times New Roman" w:eastAsia="仿宋_GB2312" w:cs="Times New Roman"/>
          <w:sz w:val="28"/>
          <w:szCs w:val="28"/>
        </w:rPr>
        <w:t>、《关于深入打好污染防治攻坚战的实施意见》</w:t>
      </w:r>
      <w:r>
        <w:rPr>
          <w:rFonts w:hint="default" w:ascii="Times New Roman" w:hAnsi="Times New Roman" w:cs="Times New Roman"/>
          <w:sz w:val="28"/>
          <w:szCs w:val="28"/>
          <w:lang w:eastAsia="zh-CN"/>
        </w:rPr>
        <w:t>（桂发〔</w:t>
      </w:r>
      <w:r>
        <w:rPr>
          <w:rFonts w:hint="default" w:ascii="Times New Roman" w:hAnsi="Times New Roman" w:cs="Times New Roman"/>
          <w:sz w:val="28"/>
          <w:szCs w:val="28"/>
          <w:lang w:val="en-US" w:eastAsia="zh-CN"/>
        </w:rPr>
        <w:t>2022</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15号）</w:t>
      </w:r>
      <w:r>
        <w:rPr>
          <w:rFonts w:hint="default" w:ascii="Times New Roman" w:hAnsi="Times New Roman" w:eastAsia="仿宋_GB2312" w:cs="Times New Roman"/>
          <w:sz w:val="28"/>
          <w:szCs w:val="28"/>
        </w:rPr>
        <w:t>等文件，把绿色发展理念贯穿广西经济社会发展全过程和各领域，明确了新发展阶段广西厚植生态环境优势、推动绿色发展的重点任务和战略举措，同时也提出了加快建设美丽广西和生态文明强区的目标，生态文明建设由此被赋予了新的定位和新的使命任务，未来一个时期兴安县生态文明建设将迎来快速推进机遇期。</w:t>
      </w:r>
    </w:p>
    <w:p>
      <w:pPr>
        <w:ind w:firstLine="562"/>
        <w:rPr>
          <w:rFonts w:hint="default" w:ascii="Times New Roman" w:hAnsi="Times New Roman" w:cs="Times New Roman"/>
          <w:sz w:val="28"/>
          <w:szCs w:val="28"/>
        </w:rPr>
        <w:sectPr>
          <w:footerReference r:id="rId12" w:type="default"/>
          <w:pgSz w:w="11906" w:h="16838"/>
          <w:pgMar w:top="2098" w:right="1304" w:bottom="1304" w:left="1587" w:header="851" w:footer="1361" w:gutter="0"/>
          <w:pgNumType w:start="1"/>
          <w:cols w:space="0" w:num="1"/>
          <w:rtlGutter w:val="0"/>
          <w:docGrid w:type="lines" w:linePitch="383" w:charSpace="0"/>
        </w:sectPr>
      </w:pPr>
      <w:r>
        <w:rPr>
          <w:rFonts w:hint="default" w:ascii="Times New Roman" w:hAnsi="Times New Roman" w:cs="Times New Roman"/>
          <w:b/>
          <w:bCs/>
          <w:sz w:val="28"/>
          <w:szCs w:val="28"/>
        </w:rPr>
        <w:t>桂林市高度重视生态文明建设工作。</w:t>
      </w:r>
      <w:r>
        <w:rPr>
          <w:rFonts w:hint="default" w:ascii="Times New Roman" w:hAnsi="Times New Roman" w:cs="Times New Roman"/>
          <w:sz w:val="28"/>
          <w:szCs w:val="28"/>
        </w:rPr>
        <w:t>桂林市委、市政府以习近平生态文明思想为指导，牢记习近平总书记“一定要保护好桂林山水”的殷切嘱托，深入贯彻落实中央、自治区关于生态环境保护工作重大决策部署，牢固树立“绿水青山就是金山银山”理念，始终坚持绿色打底、生态立市战略，全力打造桂林世界级旅游城市，把生态文明建设和生态环境保护摆在全市工作的突出位置，以环境质量改善为核心，以落实大气、水、土壤污染防治为重点，开展了一系列生态环境治理的“桂林行动”，全市环境生态质量显著提升。桂林市在全区率先落实生态环境“党政同责、一岗双责”等一批重要改革措施，全社会齐抓共管的大环保格局和“统责、分责、考责、追责”的长效工作机制初步形成。桂林市委、市政府的高度重视，为兴安县生态环境保护</w:t>
      </w:r>
      <w:r>
        <w:rPr>
          <w:rFonts w:hint="default" w:ascii="Times New Roman" w:hAnsi="Times New Roman" w:cs="Times New Roman"/>
          <w:sz w:val="28"/>
          <w:szCs w:val="28"/>
          <w:lang w:eastAsia="zh-CN"/>
        </w:rPr>
        <w:t>工作</w:t>
      </w:r>
      <w:r>
        <w:rPr>
          <w:rFonts w:hint="default" w:ascii="Times New Roman" w:hAnsi="Times New Roman" w:cs="Times New Roman"/>
          <w:sz w:val="28"/>
          <w:szCs w:val="28"/>
        </w:rPr>
        <w:t>提供了强有力</w:t>
      </w:r>
      <w:r>
        <w:rPr>
          <w:rFonts w:hint="default" w:ascii="Times New Roman" w:hAnsi="Times New Roman" w:cs="Times New Roman"/>
          <w:sz w:val="28"/>
          <w:szCs w:val="28"/>
          <w:lang w:eastAsia="zh-CN"/>
        </w:rPr>
        <w:t>的</w:t>
      </w:r>
      <w:r>
        <w:rPr>
          <w:rFonts w:hint="default" w:ascii="Times New Roman" w:hAnsi="Times New Roman" w:cs="Times New Roman"/>
          <w:sz w:val="28"/>
          <w:szCs w:val="28"/>
        </w:rPr>
        <w:t>保障。</w:t>
      </w:r>
    </w:p>
    <w:p>
      <w:pPr>
        <w:spacing w:after="156" w:afterLines="50"/>
        <w:ind w:firstLine="0" w:firstLineChars="0"/>
        <w:jc w:val="center"/>
        <w:outlineLvl w:val="0"/>
        <w:rPr>
          <w:rFonts w:hint="default" w:ascii="Times New Roman" w:hAnsi="Times New Roman" w:eastAsia="黑体" w:cs="Times New Roman"/>
          <w:b w:val="0"/>
          <w:bCs w:val="0"/>
          <w:sz w:val="44"/>
          <w:szCs w:val="44"/>
        </w:rPr>
      </w:pPr>
      <w:bookmarkStart w:id="16" w:name="_Toc151734534"/>
      <w:bookmarkStart w:id="17" w:name="_Toc153528945"/>
      <w:r>
        <w:rPr>
          <w:rFonts w:hint="default" w:ascii="Times New Roman" w:hAnsi="Times New Roman" w:eastAsia="黑体" w:cs="Times New Roman"/>
          <w:b w:val="0"/>
          <w:bCs w:val="0"/>
          <w:sz w:val="44"/>
          <w:szCs w:val="44"/>
        </w:rPr>
        <w:t>第二章 规划总则</w:t>
      </w:r>
      <w:bookmarkEnd w:id="16"/>
      <w:bookmarkEnd w:id="17"/>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1"/>
        <w:rPr>
          <w:rFonts w:hint="default" w:ascii="Times New Roman" w:hAnsi="Times New Roman" w:eastAsia="仿宋_GB2312" w:cs="Times New Roman"/>
          <w:b/>
          <w:bCs/>
          <w:sz w:val="32"/>
          <w:szCs w:val="24"/>
        </w:rPr>
      </w:pPr>
      <w:bookmarkStart w:id="18" w:name="_Toc151734535"/>
      <w:bookmarkStart w:id="19" w:name="_Toc153528946"/>
    </w:p>
    <w:p>
      <w:pPr>
        <w:ind w:firstLine="0" w:firstLineChars="0"/>
        <w:jc w:val="center"/>
        <w:outlineLvl w:val="1"/>
        <w:rPr>
          <w:rFonts w:hint="default" w:ascii="Times New Roman" w:hAnsi="Times New Roman" w:eastAsia="黑体" w:cs="Times New Roman"/>
          <w:b w:val="0"/>
          <w:bCs w:val="0"/>
          <w:sz w:val="32"/>
          <w:szCs w:val="24"/>
        </w:rPr>
      </w:pPr>
      <w:r>
        <w:rPr>
          <w:rFonts w:hint="default" w:ascii="Times New Roman" w:hAnsi="Times New Roman" w:eastAsia="黑体" w:cs="Times New Roman"/>
          <w:b w:val="0"/>
          <w:bCs w:val="0"/>
          <w:sz w:val="32"/>
          <w:szCs w:val="24"/>
        </w:rPr>
        <w:t>第一节 指导思想</w:t>
      </w:r>
      <w:bookmarkEnd w:id="18"/>
      <w:bookmarkEnd w:id="19"/>
    </w:p>
    <w:p>
      <w:pPr>
        <w:ind w:firstLine="560"/>
        <w:rPr>
          <w:rFonts w:hint="default" w:ascii="Times New Roman" w:hAnsi="Times New Roman" w:cs="Times New Roman"/>
          <w:sz w:val="28"/>
          <w:szCs w:val="28"/>
        </w:rPr>
      </w:pPr>
      <w:r>
        <w:rPr>
          <w:rFonts w:hint="default" w:ascii="Times New Roman" w:hAnsi="Times New Roman" w:cs="Times New Roman"/>
          <w:sz w:val="28"/>
          <w:szCs w:val="28"/>
        </w:rPr>
        <w:t>以习近平新时代中国特色社会主义思想为指导，全面贯彻落实党的二十大、全国生态环境保护大会精神和习近平视察广西重要讲话精神，按照国家、自治区和桂林市的战略部署，牢固树立“绿水青山就是金山银山”理念，坚持绿色是生态文明建设的底色，落实新发展阶段广西厚植生态环境优势、推动绿色发展迈出新步伐的重点任务和战略举措。立足兴安县经济社会发展基本状况和特征，保障生态安全，改善环境质量，提高资源能源利用效率，全面实施生态立县战略，积极创建国家生态文明建设示范区，建设“美丽生态兴安”。</w:t>
      </w:r>
    </w:p>
    <w:p>
      <w:pPr>
        <w:ind w:firstLine="0" w:firstLineChars="0"/>
        <w:jc w:val="center"/>
        <w:outlineLvl w:val="1"/>
        <w:rPr>
          <w:rFonts w:hint="default" w:ascii="Times New Roman" w:hAnsi="Times New Roman" w:eastAsia="仿宋_GB2312" w:cs="Times New Roman"/>
          <w:b/>
          <w:bCs/>
          <w:sz w:val="32"/>
          <w:szCs w:val="24"/>
        </w:rPr>
      </w:pPr>
      <w:bookmarkStart w:id="20" w:name="_Toc151734536"/>
      <w:bookmarkStart w:id="21" w:name="_Toc153528947"/>
    </w:p>
    <w:p>
      <w:pPr>
        <w:ind w:firstLine="0" w:firstLineChars="0"/>
        <w:jc w:val="center"/>
        <w:outlineLvl w:val="1"/>
        <w:rPr>
          <w:rFonts w:hint="default" w:ascii="Times New Roman" w:hAnsi="Times New Roman" w:eastAsia="黑体" w:cs="Times New Roman"/>
          <w:b w:val="0"/>
          <w:bCs w:val="0"/>
          <w:sz w:val="32"/>
          <w:szCs w:val="24"/>
        </w:rPr>
      </w:pPr>
      <w:r>
        <w:rPr>
          <w:rFonts w:hint="default" w:ascii="Times New Roman" w:hAnsi="Times New Roman" w:eastAsia="黑体" w:cs="Times New Roman"/>
          <w:b w:val="0"/>
          <w:bCs w:val="0"/>
          <w:sz w:val="32"/>
          <w:szCs w:val="24"/>
        </w:rPr>
        <w:t>第二节 基本原则</w:t>
      </w:r>
      <w:bookmarkEnd w:id="20"/>
      <w:bookmarkEnd w:id="21"/>
    </w:p>
    <w:p>
      <w:pPr>
        <w:ind w:firstLine="562"/>
        <w:rPr>
          <w:rFonts w:hint="default" w:ascii="Times New Roman" w:hAnsi="Times New Roman" w:cs="Times New Roman"/>
          <w:sz w:val="28"/>
          <w:szCs w:val="28"/>
        </w:rPr>
      </w:pPr>
      <w:r>
        <w:rPr>
          <w:rFonts w:hint="default" w:ascii="Times New Roman" w:hAnsi="Times New Roman" w:cs="Times New Roman"/>
          <w:b/>
          <w:bCs/>
          <w:sz w:val="28"/>
          <w:szCs w:val="28"/>
        </w:rPr>
        <w:t>生态优先，绿色发展。</w:t>
      </w:r>
      <w:r>
        <w:rPr>
          <w:rFonts w:hint="default" w:ascii="Times New Roman" w:hAnsi="Times New Roman" w:cs="Times New Roman"/>
          <w:sz w:val="28"/>
          <w:szCs w:val="28"/>
        </w:rPr>
        <w:t>全面贯彻尊重自然、顺应自然、保护自然的生态文明理念，坚持发挥兴安县资源优势，将生态文明建设的理念与要求融入空间布局、经济发展、消费模式等多层次多领域，实</w:t>
      </w:r>
      <w:r>
        <w:rPr>
          <w:rFonts w:hint="default" w:ascii="Times New Roman" w:hAnsi="Times New Roman" w:cs="Times New Roman"/>
          <w:sz w:val="28"/>
          <w:szCs w:val="28"/>
          <w:lang w:eastAsia="zh-CN"/>
        </w:rPr>
        <w:t>施</w:t>
      </w:r>
      <w:r>
        <w:rPr>
          <w:rFonts w:hint="default" w:ascii="Times New Roman" w:hAnsi="Times New Roman" w:cs="Times New Roman"/>
          <w:sz w:val="28"/>
          <w:szCs w:val="28"/>
        </w:rPr>
        <w:t>绿色发展、低碳发展、循环发展。</w:t>
      </w:r>
    </w:p>
    <w:p>
      <w:pPr>
        <w:ind w:firstLine="562"/>
        <w:rPr>
          <w:rFonts w:hint="default" w:ascii="Times New Roman" w:hAnsi="Times New Roman" w:cs="Times New Roman"/>
          <w:sz w:val="28"/>
          <w:szCs w:val="28"/>
        </w:rPr>
      </w:pPr>
      <w:r>
        <w:rPr>
          <w:rFonts w:hint="default" w:ascii="Times New Roman" w:hAnsi="Times New Roman" w:cs="Times New Roman"/>
          <w:b/>
          <w:bCs/>
          <w:sz w:val="28"/>
          <w:szCs w:val="28"/>
        </w:rPr>
        <w:t>因地制宜，彰显特色。</w:t>
      </w:r>
      <w:r>
        <w:rPr>
          <w:rFonts w:hint="default" w:ascii="Times New Roman" w:hAnsi="Times New Roman" w:cs="Times New Roman"/>
          <w:sz w:val="28"/>
          <w:szCs w:val="28"/>
        </w:rPr>
        <w:t>立足于兴安县区位交通、社会经济、生态环境、传统文化等现实基础，充分利用优势资源，科学系统的研究生态文明建设的路径、方法和体制机制，努力探索具有兴安县特色的生态文明建设模式。</w:t>
      </w:r>
    </w:p>
    <w:p>
      <w:pPr>
        <w:ind w:firstLine="562"/>
        <w:rPr>
          <w:rFonts w:hint="default" w:ascii="Times New Roman" w:hAnsi="Times New Roman" w:cs="Times New Roman"/>
          <w:sz w:val="28"/>
          <w:szCs w:val="28"/>
        </w:rPr>
      </w:pPr>
      <w:r>
        <w:rPr>
          <w:rFonts w:hint="default" w:ascii="Times New Roman" w:hAnsi="Times New Roman" w:cs="Times New Roman"/>
          <w:b/>
          <w:bCs/>
          <w:sz w:val="28"/>
          <w:szCs w:val="28"/>
        </w:rPr>
        <w:t>统筹协调，重点发展。</w:t>
      </w:r>
      <w:r>
        <w:rPr>
          <w:rFonts w:hint="default" w:ascii="Times New Roman" w:hAnsi="Times New Roman" w:cs="Times New Roman"/>
          <w:sz w:val="28"/>
          <w:szCs w:val="28"/>
        </w:rPr>
        <w:t>正确处理保护与发展、近期与远景、整体与局部、城镇与乡村等关系，统筹山水林田湖草系统治理，以问题为导向，重点突破、示范引领、稳步推进，充分发挥兴安县生态资源优势，推动生态文明建设协调发展和整体提升。</w:t>
      </w:r>
    </w:p>
    <w:p>
      <w:pPr>
        <w:ind w:firstLine="562"/>
        <w:rPr>
          <w:rFonts w:hint="default" w:ascii="Times New Roman" w:hAnsi="Times New Roman" w:cs="Times New Roman"/>
          <w:sz w:val="28"/>
          <w:szCs w:val="28"/>
        </w:rPr>
      </w:pPr>
      <w:r>
        <w:rPr>
          <w:rFonts w:hint="default" w:ascii="Times New Roman" w:hAnsi="Times New Roman" w:cs="Times New Roman"/>
          <w:b/>
          <w:bCs/>
          <w:sz w:val="28"/>
          <w:szCs w:val="28"/>
        </w:rPr>
        <w:t>目标明确，深入落实。</w:t>
      </w:r>
      <w:r>
        <w:rPr>
          <w:rFonts w:hint="default" w:ascii="Times New Roman" w:hAnsi="Times New Roman" w:cs="Times New Roman"/>
          <w:sz w:val="28"/>
          <w:szCs w:val="28"/>
        </w:rPr>
        <w:t>明确生态文明建设示范区的目标和指标体系，并将其分解到乡（镇）、村，落实各部门各单位和个人，促进发展方式、生产方式、消费方式、生活方式的转变，使生态文明的理念深入人心、落实到行动。</w:t>
      </w:r>
    </w:p>
    <w:p>
      <w:pPr>
        <w:ind w:firstLine="562"/>
        <w:rPr>
          <w:rFonts w:hint="default" w:ascii="Times New Roman" w:hAnsi="Times New Roman" w:cs="Times New Roman"/>
          <w:sz w:val="28"/>
          <w:szCs w:val="28"/>
        </w:rPr>
      </w:pPr>
      <w:r>
        <w:rPr>
          <w:rFonts w:hint="default" w:ascii="Times New Roman" w:hAnsi="Times New Roman" w:cs="Times New Roman"/>
          <w:b/>
          <w:bCs/>
          <w:sz w:val="28"/>
          <w:szCs w:val="28"/>
        </w:rPr>
        <w:t>政府主导，社会参与。</w:t>
      </w:r>
      <w:r>
        <w:rPr>
          <w:rFonts w:hint="default" w:ascii="Times New Roman" w:hAnsi="Times New Roman" w:cs="Times New Roman"/>
          <w:sz w:val="28"/>
          <w:szCs w:val="28"/>
        </w:rPr>
        <w:t>把生态文明建设提上各级政府的重要议事日程，放到更加突出的位置，切实发挥组织领导、规划引领、资金引导的作用。坚持以人为本，着力强化企业生态意识和社会责任意识，倡导公众积极参与，引导全民共建共享，最大限度地满足人民群众对良好生态环境的热切期盼，让人民群众共享生态文明建设成果。</w:t>
      </w:r>
    </w:p>
    <w:p>
      <w:pPr>
        <w:pStyle w:val="20"/>
        <w:rPr>
          <w:rFonts w:hint="default" w:ascii="Times New Roman" w:hAnsi="Times New Roman" w:cs="Times New Roman"/>
          <w:color w:val="auto"/>
        </w:rPr>
      </w:pPr>
    </w:p>
    <w:p>
      <w:pPr>
        <w:ind w:firstLine="0" w:firstLineChars="0"/>
        <w:jc w:val="center"/>
        <w:outlineLvl w:val="1"/>
        <w:rPr>
          <w:rFonts w:hint="default" w:ascii="Times New Roman" w:hAnsi="Times New Roman" w:eastAsia="黑体" w:cs="Times New Roman"/>
          <w:b w:val="0"/>
          <w:bCs w:val="0"/>
          <w:sz w:val="32"/>
          <w:szCs w:val="24"/>
        </w:rPr>
      </w:pPr>
      <w:bookmarkStart w:id="22" w:name="_Toc151734537"/>
      <w:bookmarkStart w:id="23" w:name="_Toc153528948"/>
      <w:r>
        <w:rPr>
          <w:rFonts w:hint="default" w:ascii="Times New Roman" w:hAnsi="Times New Roman" w:eastAsia="黑体" w:cs="Times New Roman"/>
          <w:b w:val="0"/>
          <w:bCs w:val="0"/>
          <w:sz w:val="32"/>
          <w:szCs w:val="24"/>
        </w:rPr>
        <w:t>第三节 规划范围</w:t>
      </w:r>
      <w:bookmarkEnd w:id="22"/>
      <w:bookmarkEnd w:id="23"/>
    </w:p>
    <w:p>
      <w:pPr>
        <w:ind w:firstLine="560"/>
        <w:rPr>
          <w:rFonts w:hint="default" w:ascii="Times New Roman" w:hAnsi="Times New Roman" w:cs="Times New Roman"/>
          <w:sz w:val="28"/>
          <w:szCs w:val="28"/>
        </w:rPr>
      </w:pPr>
      <w:bookmarkStart w:id="24" w:name="_Hlk151716306"/>
      <w:r>
        <w:rPr>
          <w:rFonts w:hint="default" w:ascii="Times New Roman" w:hAnsi="Times New Roman" w:eastAsia="仿宋_GB2312" w:cs="Times New Roman"/>
          <w:sz w:val="28"/>
          <w:szCs w:val="28"/>
        </w:rPr>
        <w:t>规划范围为兴安县全境。</w:t>
      </w:r>
      <w:bookmarkEnd w:id="24"/>
      <w:r>
        <w:rPr>
          <w:rFonts w:hint="default" w:ascii="Times New Roman" w:hAnsi="Times New Roman" w:eastAsia="仿宋_GB2312" w:cs="Times New Roman"/>
          <w:sz w:val="28"/>
          <w:szCs w:val="28"/>
        </w:rPr>
        <w:t>兴安县下设兴安镇、界首镇、溶江镇、湘漓镇、高尚镇、严关镇、华江瑶族乡、崔家乡、漠川乡、白石乡，共10个乡（镇）。下辖115</w:t>
      </w:r>
      <w:r>
        <w:rPr>
          <w:rFonts w:hint="default" w:ascii="Times New Roman" w:hAnsi="Times New Roman" w:cs="Times New Roman"/>
          <w:sz w:val="28"/>
          <w:szCs w:val="28"/>
          <w:lang w:eastAsia="zh-CN"/>
        </w:rPr>
        <w:t>个</w:t>
      </w:r>
      <w:r>
        <w:rPr>
          <w:rFonts w:hint="default" w:ascii="Times New Roman" w:hAnsi="Times New Roman" w:eastAsia="仿宋_GB2312" w:cs="Times New Roman"/>
          <w:sz w:val="28"/>
          <w:szCs w:val="28"/>
        </w:rPr>
        <w:t>行政村</w:t>
      </w:r>
      <w:r>
        <w:rPr>
          <w:rFonts w:hint="default" w:ascii="Times New Roman" w:hAnsi="Times New Roman" w:cs="Times New Roman"/>
          <w:sz w:val="28"/>
          <w:szCs w:val="28"/>
          <w:lang w:eastAsia="zh-CN"/>
        </w:rPr>
        <w:t>、</w:t>
      </w:r>
      <w:r>
        <w:rPr>
          <w:rFonts w:hint="default" w:ascii="Times New Roman" w:hAnsi="Times New Roman" w:eastAsia="仿宋_GB2312" w:cs="Times New Roman"/>
          <w:sz w:val="28"/>
          <w:szCs w:val="28"/>
        </w:rPr>
        <w:t>10个社区，1380个自然村。</w:t>
      </w:r>
    </w:p>
    <w:p>
      <w:pPr>
        <w:pStyle w:val="20"/>
        <w:rPr>
          <w:rFonts w:hint="default" w:ascii="Times New Roman" w:hAnsi="Times New Roman" w:cs="Times New Roman"/>
          <w:color w:val="auto"/>
        </w:rPr>
      </w:pPr>
    </w:p>
    <w:p>
      <w:pPr>
        <w:ind w:firstLine="0" w:firstLineChars="0"/>
        <w:jc w:val="center"/>
        <w:outlineLvl w:val="1"/>
        <w:rPr>
          <w:rFonts w:hint="default" w:ascii="Times New Roman" w:hAnsi="Times New Roman" w:eastAsia="黑体" w:cs="Times New Roman"/>
          <w:b w:val="0"/>
          <w:bCs w:val="0"/>
          <w:sz w:val="32"/>
          <w:szCs w:val="24"/>
        </w:rPr>
      </w:pPr>
      <w:bookmarkStart w:id="25" w:name="_Toc151734538"/>
      <w:bookmarkStart w:id="26" w:name="_Toc153528949"/>
      <w:r>
        <w:rPr>
          <w:rFonts w:hint="default" w:ascii="Times New Roman" w:hAnsi="Times New Roman" w:eastAsia="黑体" w:cs="Times New Roman"/>
          <w:b w:val="0"/>
          <w:bCs w:val="0"/>
          <w:sz w:val="32"/>
          <w:szCs w:val="24"/>
        </w:rPr>
        <w:t>第四节 规划期限</w:t>
      </w:r>
      <w:bookmarkEnd w:id="25"/>
      <w:bookmarkEnd w:id="26"/>
    </w:p>
    <w:p>
      <w:pPr>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规划期限为2023年～2030年，以2022年为基准年。生态文明建设示范区建设将分以下两个阶段：</w:t>
      </w:r>
    </w:p>
    <w:p>
      <w:pPr>
        <w:ind w:firstLine="56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（1）2023年～2026年：生态文明建设示范区重点推进期，2026年争创国家级生态文明建设示范区；</w:t>
      </w:r>
    </w:p>
    <w:p>
      <w:pPr>
        <w:ind w:firstLine="560"/>
        <w:rPr>
          <w:rFonts w:hint="default" w:ascii="Times New Roman" w:hAnsi="Times New Roman" w:cs="Times New Roman"/>
          <w:sz w:val="28"/>
          <w:szCs w:val="28"/>
        </w:rPr>
      </w:pPr>
      <w:r>
        <w:rPr>
          <w:rFonts w:hint="default" w:ascii="Times New Roman" w:hAnsi="Times New Roman" w:eastAsia="仿宋_GB2312" w:cs="Times New Roman"/>
          <w:sz w:val="28"/>
          <w:szCs w:val="28"/>
        </w:rPr>
        <w:t>（2）2027年～2030年：生态文明建设示范区巩固提高期，不断巩固提高生态文明建设示范区建设指标。</w:t>
      </w:r>
    </w:p>
    <w:p>
      <w:pPr>
        <w:pStyle w:val="20"/>
        <w:rPr>
          <w:rFonts w:hint="default" w:ascii="Times New Roman" w:hAnsi="Times New Roman" w:cs="Times New Roman"/>
          <w:color w:val="auto"/>
        </w:rPr>
      </w:pPr>
    </w:p>
    <w:p>
      <w:pPr>
        <w:ind w:firstLine="0" w:firstLineChars="0"/>
        <w:jc w:val="center"/>
        <w:outlineLvl w:val="1"/>
        <w:rPr>
          <w:rFonts w:hint="default" w:ascii="Times New Roman" w:hAnsi="Times New Roman" w:eastAsia="黑体" w:cs="Times New Roman"/>
          <w:b w:val="0"/>
          <w:bCs w:val="0"/>
          <w:sz w:val="32"/>
          <w:szCs w:val="24"/>
        </w:rPr>
      </w:pPr>
      <w:bookmarkStart w:id="27" w:name="_Toc153528950"/>
      <w:bookmarkStart w:id="28" w:name="_Toc151734539"/>
      <w:r>
        <w:rPr>
          <w:rFonts w:hint="default" w:ascii="Times New Roman" w:hAnsi="Times New Roman" w:eastAsia="黑体" w:cs="Times New Roman"/>
          <w:b w:val="0"/>
          <w:bCs w:val="0"/>
          <w:sz w:val="32"/>
          <w:szCs w:val="24"/>
        </w:rPr>
        <w:t>第五节 规划目标</w:t>
      </w:r>
      <w:bookmarkEnd w:id="27"/>
      <w:bookmarkEnd w:id="28"/>
    </w:p>
    <w:p>
      <w:pPr>
        <w:ind w:firstLine="560"/>
        <w:rPr>
          <w:rFonts w:hint="default" w:ascii="Times New Roman" w:hAnsi="Times New Roman" w:cs="Times New Roman"/>
          <w:sz w:val="28"/>
          <w:szCs w:val="28"/>
        </w:rPr>
      </w:pPr>
      <w:r>
        <w:rPr>
          <w:rFonts w:hint="default" w:ascii="Times New Roman" w:hAnsi="Times New Roman" w:cs="Times New Roman"/>
          <w:sz w:val="28"/>
          <w:szCs w:val="28"/>
        </w:rPr>
        <w:t>贯彻落实党的二十大</w:t>
      </w:r>
      <w:bookmarkStart w:id="119" w:name="_GoBack"/>
      <w:bookmarkEnd w:id="119"/>
      <w:r>
        <w:rPr>
          <w:rFonts w:hint="default" w:ascii="Times New Roman" w:hAnsi="Times New Roman" w:cs="Times New Roman"/>
          <w:sz w:val="28"/>
          <w:szCs w:val="28"/>
        </w:rPr>
        <w:t>精神，以习近平生态文明思想为指导，秉承“科学规划、彰显特色、分类指标、循序渐进”原则，依据兴安县现有发展基础和资源环境禀赋，将生态文明建设融入经济建设、政治建设、文化建设、社会建设各方面和全过程，科学构建国土空间开发格局，集约节约的生态产业体系，和谐安全的生态环境体系，幸福安康的人居环境体系，高效完善的生态制度体系以及兴安县特色的生态文化体系，努力将兴安县建成宜居宜业宜游，具备创新、协调、绿色、开放、共享的发展理念的生态文明建设示范区。</w:t>
      </w:r>
    </w:p>
    <w:p>
      <w:pPr>
        <w:ind w:firstLine="560"/>
        <w:rPr>
          <w:rFonts w:hint="default" w:ascii="Times New Roman" w:hAnsi="Times New Roman" w:cs="Times New Roman"/>
          <w:sz w:val="28"/>
          <w:szCs w:val="28"/>
        </w:rPr>
      </w:pPr>
      <w:r>
        <w:rPr>
          <w:rFonts w:hint="default" w:ascii="Times New Roman" w:hAnsi="Times New Roman" w:eastAsia="仿宋_GB2312" w:cs="Times New Roman"/>
          <w:sz w:val="28"/>
          <w:szCs w:val="28"/>
        </w:rPr>
        <w:t>重点推进期（2023年至2026年）：到2026年，兴安县国家生态文明建设示范区各项约束性和参考性指标达到《国家生态文明建设示范市县建设指标》和《广西生态文明建设示范区（县级）建设指标及评分细则（试行）》考核要求，申报国家生态文明建设示范区。</w:t>
      </w:r>
    </w:p>
    <w:p>
      <w:pPr>
        <w:ind w:firstLine="565" w:firstLineChars="202"/>
        <w:rPr>
          <w:rFonts w:hint="default" w:ascii="Times New Roman" w:hAnsi="Times New Roman" w:cs="Times New Roman"/>
          <w:sz w:val="28"/>
          <w:szCs w:val="28"/>
        </w:rPr>
      </w:pPr>
      <w:r>
        <w:rPr>
          <w:rFonts w:hint="default" w:ascii="Times New Roman" w:hAnsi="Times New Roman" w:eastAsia="仿宋_GB2312" w:cs="Times New Roman"/>
          <w:sz w:val="28"/>
          <w:szCs w:val="28"/>
        </w:rPr>
        <w:t>巩固提高期（2027年至2030年）：继续优化提升兴安县国家生态文明建设示范区各项指标水平，进一步提高创建质量，巩固生态文明示范创建在各领域取得的成果。到2030年，兴安县生态文明建设得到纵深推进，不断完善国家生态文明建设成果。</w:t>
      </w:r>
    </w:p>
    <w:p>
      <w:pPr>
        <w:pStyle w:val="20"/>
        <w:rPr>
          <w:rFonts w:hint="default" w:ascii="Times New Roman" w:hAnsi="Times New Roman" w:cs="Times New Roman"/>
          <w:color w:val="auto"/>
        </w:rPr>
      </w:pPr>
    </w:p>
    <w:p>
      <w:pPr>
        <w:ind w:firstLine="0" w:firstLineChars="0"/>
        <w:jc w:val="center"/>
        <w:outlineLvl w:val="1"/>
        <w:rPr>
          <w:rFonts w:hint="default" w:ascii="Times New Roman" w:hAnsi="Times New Roman" w:eastAsia="楷体" w:cs="Times New Roman"/>
          <w:b w:val="0"/>
          <w:bCs w:val="0"/>
          <w:sz w:val="32"/>
          <w:szCs w:val="24"/>
        </w:rPr>
      </w:pPr>
      <w:bookmarkStart w:id="29" w:name="_Toc151734540"/>
      <w:bookmarkStart w:id="30" w:name="_Toc153528951"/>
      <w:r>
        <w:rPr>
          <w:rFonts w:hint="default" w:ascii="Times New Roman" w:hAnsi="Times New Roman" w:eastAsia="黑体" w:cs="Times New Roman"/>
          <w:b w:val="0"/>
          <w:bCs w:val="0"/>
          <w:sz w:val="32"/>
          <w:szCs w:val="24"/>
        </w:rPr>
        <w:t>第六节 建设指标</w:t>
      </w:r>
      <w:bookmarkEnd w:id="29"/>
      <w:bookmarkEnd w:id="30"/>
    </w:p>
    <w:p>
      <w:pPr>
        <w:ind w:firstLine="560"/>
        <w:rPr>
          <w:rStyle w:val="24"/>
          <w:rFonts w:hint="default" w:ascii="Times New Roman" w:hAnsi="Times New Roman" w:cs="Times New Roman"/>
          <w:color w:val="auto"/>
          <w:sz w:val="28"/>
          <w:szCs w:val="28"/>
        </w:rPr>
      </w:pPr>
      <w:r>
        <w:rPr>
          <w:rStyle w:val="24"/>
          <w:rFonts w:hint="default" w:ascii="Times New Roman" w:hAnsi="Times New Roman" w:eastAsia="仿宋_GB2312" w:cs="Times New Roman"/>
          <w:color w:val="auto"/>
          <w:sz w:val="28"/>
          <w:szCs w:val="28"/>
        </w:rPr>
        <w:t>依据《国家生态文明建设示范区管理规程（修订版）》《国家生态文明建设示范区建设指标（修订版）》（环办生态函〔</w:t>
      </w:r>
      <w:r>
        <w:rPr>
          <w:rStyle w:val="25"/>
          <w:rFonts w:hint="default" w:ascii="Times New Roman" w:hAnsi="Times New Roman" w:eastAsia="仿宋_GB2312" w:cs="Times New Roman"/>
          <w:color w:val="auto"/>
          <w:sz w:val="28"/>
          <w:szCs w:val="28"/>
        </w:rPr>
        <w:t>2021</w:t>
      </w:r>
      <w:r>
        <w:rPr>
          <w:rStyle w:val="24"/>
          <w:rFonts w:hint="default" w:ascii="Times New Roman" w:hAnsi="Times New Roman" w:eastAsia="仿宋_GB2312" w:cs="Times New Roman"/>
          <w:color w:val="auto"/>
          <w:sz w:val="28"/>
          <w:szCs w:val="28"/>
        </w:rPr>
        <w:t>〕</w:t>
      </w:r>
      <w:r>
        <w:rPr>
          <w:rStyle w:val="25"/>
          <w:rFonts w:hint="default" w:ascii="Times New Roman" w:hAnsi="Times New Roman" w:eastAsia="仿宋_GB2312" w:cs="Times New Roman"/>
          <w:color w:val="auto"/>
          <w:sz w:val="28"/>
          <w:szCs w:val="28"/>
        </w:rPr>
        <w:t>353</w:t>
      </w:r>
      <w:r>
        <w:rPr>
          <w:rStyle w:val="24"/>
          <w:rFonts w:hint="default" w:ascii="Times New Roman" w:hAnsi="Times New Roman" w:eastAsia="仿宋_GB2312" w:cs="Times New Roman"/>
          <w:color w:val="auto"/>
          <w:sz w:val="28"/>
          <w:szCs w:val="28"/>
        </w:rPr>
        <w:t>号）、《关于开展第七批国家生态文明建设示范区和</w:t>
      </w:r>
      <w:r>
        <w:rPr>
          <w:rStyle w:val="25"/>
          <w:rFonts w:hint="default" w:ascii="Times New Roman" w:hAnsi="Times New Roman" w:eastAsia="仿宋_GB2312" w:cs="Times New Roman"/>
          <w:color w:val="auto"/>
          <w:sz w:val="28"/>
          <w:szCs w:val="28"/>
        </w:rPr>
        <w:t>“</w:t>
      </w:r>
      <w:r>
        <w:rPr>
          <w:rStyle w:val="24"/>
          <w:rFonts w:hint="default" w:ascii="Times New Roman" w:hAnsi="Times New Roman" w:eastAsia="仿宋_GB2312" w:cs="Times New Roman"/>
          <w:color w:val="auto"/>
          <w:sz w:val="28"/>
          <w:szCs w:val="28"/>
        </w:rPr>
        <w:t>绿水青山就是金山银山</w:t>
      </w:r>
      <w:r>
        <w:rPr>
          <w:rStyle w:val="25"/>
          <w:rFonts w:hint="default" w:ascii="Times New Roman" w:hAnsi="Times New Roman" w:eastAsia="仿宋_GB2312" w:cs="Times New Roman"/>
          <w:color w:val="auto"/>
          <w:sz w:val="28"/>
          <w:szCs w:val="28"/>
        </w:rPr>
        <w:t>”</w:t>
      </w:r>
      <w:r>
        <w:rPr>
          <w:rStyle w:val="24"/>
          <w:rFonts w:hint="default" w:ascii="Times New Roman" w:hAnsi="Times New Roman" w:eastAsia="仿宋_GB2312" w:cs="Times New Roman"/>
          <w:color w:val="auto"/>
          <w:sz w:val="28"/>
          <w:szCs w:val="28"/>
        </w:rPr>
        <w:t>实践创新基地遴选工作的通知》（环办生态函〔</w:t>
      </w:r>
      <w:r>
        <w:rPr>
          <w:rStyle w:val="25"/>
          <w:rFonts w:hint="default" w:ascii="Times New Roman" w:hAnsi="Times New Roman" w:eastAsia="仿宋_GB2312" w:cs="Times New Roman"/>
          <w:color w:val="auto"/>
          <w:sz w:val="28"/>
          <w:szCs w:val="28"/>
        </w:rPr>
        <w:t>2023</w:t>
      </w:r>
      <w:r>
        <w:rPr>
          <w:rStyle w:val="24"/>
          <w:rFonts w:hint="default" w:ascii="Times New Roman" w:hAnsi="Times New Roman" w:eastAsia="仿宋_GB2312" w:cs="Times New Roman"/>
          <w:color w:val="auto"/>
          <w:sz w:val="28"/>
          <w:szCs w:val="28"/>
        </w:rPr>
        <w:t>〕</w:t>
      </w:r>
      <w:r>
        <w:rPr>
          <w:rStyle w:val="25"/>
          <w:rFonts w:hint="default" w:ascii="Times New Roman" w:hAnsi="Times New Roman" w:eastAsia="仿宋_GB2312" w:cs="Times New Roman"/>
          <w:color w:val="auto"/>
          <w:sz w:val="28"/>
          <w:szCs w:val="28"/>
        </w:rPr>
        <w:t>209</w:t>
      </w:r>
      <w:r>
        <w:rPr>
          <w:rStyle w:val="24"/>
          <w:rFonts w:hint="default" w:ascii="Times New Roman" w:hAnsi="Times New Roman" w:eastAsia="仿宋_GB2312" w:cs="Times New Roman"/>
          <w:color w:val="auto"/>
          <w:sz w:val="28"/>
          <w:szCs w:val="28"/>
        </w:rPr>
        <w:t>号）等文件要求，结合兴安县特色，确定兴安县生态文明建设指标体系，包括生态制度、生态安全、生态空间、生态经济、生态生活、生态文化</w:t>
      </w:r>
      <w:r>
        <w:rPr>
          <w:rStyle w:val="25"/>
          <w:rFonts w:hint="default" w:ascii="Times New Roman" w:hAnsi="Times New Roman" w:eastAsia="仿宋_GB2312" w:cs="Times New Roman"/>
          <w:color w:val="auto"/>
          <w:sz w:val="28"/>
          <w:szCs w:val="28"/>
        </w:rPr>
        <w:t>6</w:t>
      </w:r>
      <w:r>
        <w:rPr>
          <w:rStyle w:val="24"/>
          <w:rFonts w:hint="default" w:ascii="Times New Roman" w:hAnsi="Times New Roman" w:eastAsia="仿宋_GB2312" w:cs="Times New Roman"/>
          <w:color w:val="auto"/>
          <w:sz w:val="28"/>
          <w:szCs w:val="28"/>
        </w:rPr>
        <w:t>个方面，共35项考核指标（由于兴安县不属于沿海地区，故不评价“海岸生态修复”、“自然岸线保有率”这两个指标），其中约束性指标19项、参考性指标16项，</w:t>
      </w:r>
      <w:r>
        <w:rPr>
          <w:rFonts w:hint="default" w:ascii="Times New Roman" w:hAnsi="Times New Roman" w:eastAsia="仿宋_GB2312" w:cs="Times New Roman"/>
          <w:sz w:val="28"/>
          <w:szCs w:val="28"/>
        </w:rPr>
        <w:t>27项已达标，5项未达标，3项未统计。</w:t>
      </w:r>
      <w:r>
        <w:rPr>
          <w:rStyle w:val="24"/>
          <w:rFonts w:hint="default" w:ascii="Times New Roman" w:hAnsi="Times New Roman" w:eastAsia="仿宋_GB2312" w:cs="Times New Roman"/>
          <w:color w:val="auto"/>
          <w:sz w:val="28"/>
          <w:szCs w:val="28"/>
        </w:rPr>
        <w:t>具体指标体系见表2.1-1。</w:t>
      </w:r>
    </w:p>
    <w:p>
      <w:pPr>
        <w:ind w:firstLine="560"/>
        <w:rPr>
          <w:rFonts w:hint="default" w:ascii="Times New Roman" w:hAnsi="Times New Roman" w:cs="Times New Roman"/>
        </w:rPr>
        <w:sectPr>
          <w:pgSz w:w="11906" w:h="16838"/>
          <w:pgMar w:top="2098" w:right="1304" w:bottom="1304" w:left="1587" w:header="851" w:footer="1361" w:gutter="0"/>
          <w:cols w:space="0" w:num="1"/>
          <w:rtlGutter w:val="0"/>
          <w:docGrid w:type="lines" w:linePitch="383" w:charSpace="0"/>
        </w:sectPr>
      </w:pPr>
    </w:p>
    <w:p>
      <w:pPr>
        <w:ind w:left="0" w:leftChars="0" w:firstLine="0" w:firstLineChars="0"/>
        <w:jc w:val="left"/>
        <w:rPr>
          <w:rFonts w:hint="eastAsia" w:ascii="黑体" w:hAnsi="黑体" w:eastAsia="黑体" w:cs="黑体"/>
          <w:b/>
          <w:sz w:val="32"/>
          <w:szCs w:val="32"/>
        </w:rPr>
      </w:pPr>
      <w:r>
        <w:rPr>
          <w:rFonts w:hint="eastAsia" w:ascii="黑体" w:hAnsi="黑体" w:eastAsia="黑体" w:cs="黑体"/>
          <w:b/>
          <w:sz w:val="32"/>
          <w:szCs w:val="32"/>
        </w:rPr>
        <w:t xml:space="preserve">表2.1-1  </w:t>
      </w:r>
    </w:p>
    <w:p>
      <w:pPr>
        <w:ind w:firstLine="482"/>
        <w:jc w:val="center"/>
        <w:rPr>
          <w:rFonts w:hint="eastAsia" w:ascii="方正小标宋_GBK" w:hAnsi="方正小标宋_GBK" w:eastAsia="方正小标宋_GBK" w:cs="方正小标宋_GBK"/>
          <w:b w:val="0"/>
          <w:bCs/>
          <w:sz w:val="44"/>
          <w:szCs w:val="44"/>
        </w:rPr>
      </w:pPr>
      <w:r>
        <w:rPr>
          <w:rFonts w:hint="eastAsia" w:ascii="方正小标宋_GBK" w:hAnsi="方正小标宋_GBK" w:eastAsia="方正小标宋_GBK" w:cs="方正小标宋_GBK"/>
          <w:b w:val="0"/>
          <w:bCs/>
          <w:sz w:val="44"/>
          <w:szCs w:val="44"/>
        </w:rPr>
        <w:t>兴安县国家生态文明建设示范区规划指标</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5"/>
        <w:gridCol w:w="943"/>
        <w:gridCol w:w="525"/>
        <w:gridCol w:w="716"/>
        <w:gridCol w:w="1137"/>
        <w:gridCol w:w="464"/>
        <w:gridCol w:w="1188"/>
        <w:gridCol w:w="3269"/>
        <w:gridCol w:w="850"/>
        <w:gridCol w:w="850"/>
        <w:gridCol w:w="993"/>
        <w:gridCol w:w="850"/>
        <w:gridCol w:w="1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0" w:type="auto"/>
            <w:vMerge w:val="restart"/>
            <w:shd w:val="clear" w:color="auto" w:fill="auto"/>
            <w:vAlign w:val="center"/>
          </w:tcPr>
          <w:p>
            <w:pPr>
              <w:widowControl/>
              <w:spacing w:line="240" w:lineRule="auto"/>
              <w:ind w:firstLine="0" w:firstLineChars="0"/>
              <w:jc w:val="center"/>
              <w:rPr>
                <w:rFonts w:hint="default" w:ascii="Times New Roman" w:hAnsi="Times New Roman" w:eastAsia="仿宋" w:cs="Times New Roman"/>
                <w:b/>
                <w:bCs/>
                <w:kern w:val="0"/>
                <w:sz w:val="24"/>
                <w:szCs w:val="24"/>
              </w:rPr>
            </w:pPr>
            <w:r>
              <w:rPr>
                <w:rFonts w:hint="default" w:ascii="Times New Roman" w:hAnsi="Times New Roman" w:eastAsia="仿宋" w:cs="Times New Roman"/>
                <w:b/>
                <w:bCs/>
                <w:kern w:val="0"/>
                <w:sz w:val="24"/>
                <w:szCs w:val="24"/>
              </w:rPr>
              <w:t>领域</w:t>
            </w:r>
          </w:p>
        </w:tc>
        <w:tc>
          <w:tcPr>
            <w:tcW w:w="943" w:type="dxa"/>
            <w:vMerge w:val="restart"/>
            <w:shd w:val="clear" w:color="auto" w:fill="auto"/>
            <w:vAlign w:val="center"/>
          </w:tcPr>
          <w:p>
            <w:pPr>
              <w:widowControl/>
              <w:spacing w:line="240" w:lineRule="auto"/>
              <w:ind w:firstLine="0" w:firstLineChars="0"/>
              <w:jc w:val="center"/>
              <w:rPr>
                <w:rFonts w:hint="default" w:ascii="Times New Roman" w:hAnsi="Times New Roman" w:eastAsia="仿宋" w:cs="Times New Roman"/>
                <w:b/>
                <w:bCs/>
                <w:kern w:val="0"/>
                <w:sz w:val="24"/>
                <w:szCs w:val="24"/>
              </w:rPr>
            </w:pPr>
            <w:r>
              <w:rPr>
                <w:rFonts w:hint="default" w:ascii="Times New Roman" w:hAnsi="Times New Roman" w:eastAsia="仿宋" w:cs="Times New Roman"/>
                <w:b/>
                <w:bCs/>
                <w:kern w:val="0"/>
                <w:sz w:val="24"/>
                <w:szCs w:val="24"/>
              </w:rPr>
              <w:t>任务</w:t>
            </w:r>
          </w:p>
        </w:tc>
        <w:tc>
          <w:tcPr>
            <w:tcW w:w="2378" w:type="dxa"/>
            <w:gridSpan w:val="3"/>
            <w:vMerge w:val="restart"/>
            <w:shd w:val="clear" w:color="auto" w:fill="auto"/>
            <w:vAlign w:val="center"/>
          </w:tcPr>
          <w:p>
            <w:pPr>
              <w:widowControl/>
              <w:spacing w:line="240" w:lineRule="auto"/>
              <w:ind w:firstLine="0" w:firstLineChars="0"/>
              <w:jc w:val="center"/>
              <w:rPr>
                <w:rFonts w:hint="default" w:ascii="Times New Roman" w:hAnsi="Times New Roman" w:eastAsia="仿宋" w:cs="Times New Roman"/>
                <w:b/>
                <w:bCs/>
                <w:kern w:val="0"/>
                <w:sz w:val="24"/>
                <w:szCs w:val="24"/>
              </w:rPr>
            </w:pPr>
            <w:r>
              <w:rPr>
                <w:rFonts w:hint="default" w:ascii="Times New Roman" w:hAnsi="Times New Roman" w:eastAsia="仿宋" w:cs="Times New Roman"/>
                <w:b/>
                <w:bCs/>
                <w:kern w:val="0"/>
                <w:sz w:val="24"/>
                <w:szCs w:val="24"/>
              </w:rPr>
              <w:t>指标</w:t>
            </w:r>
          </w:p>
        </w:tc>
        <w:tc>
          <w:tcPr>
            <w:tcW w:w="464" w:type="dxa"/>
            <w:vMerge w:val="restart"/>
            <w:shd w:val="clear" w:color="auto" w:fill="auto"/>
            <w:vAlign w:val="center"/>
          </w:tcPr>
          <w:p>
            <w:pPr>
              <w:widowControl/>
              <w:spacing w:line="240" w:lineRule="auto"/>
              <w:ind w:firstLine="0" w:firstLineChars="0"/>
              <w:jc w:val="center"/>
              <w:rPr>
                <w:rFonts w:hint="default" w:ascii="Times New Roman" w:hAnsi="Times New Roman" w:eastAsia="仿宋" w:cs="Times New Roman"/>
                <w:b/>
                <w:bCs/>
                <w:kern w:val="0"/>
                <w:sz w:val="24"/>
                <w:szCs w:val="24"/>
              </w:rPr>
            </w:pPr>
            <w:r>
              <w:rPr>
                <w:rFonts w:hint="default" w:ascii="Times New Roman" w:hAnsi="Times New Roman" w:eastAsia="仿宋" w:cs="Times New Roman"/>
                <w:b/>
                <w:bCs/>
                <w:kern w:val="0"/>
                <w:sz w:val="24"/>
                <w:szCs w:val="24"/>
              </w:rPr>
              <w:t>单位</w:t>
            </w:r>
          </w:p>
        </w:tc>
        <w:tc>
          <w:tcPr>
            <w:tcW w:w="1188" w:type="dxa"/>
            <w:vMerge w:val="restart"/>
            <w:shd w:val="clear" w:color="auto" w:fill="auto"/>
            <w:vAlign w:val="center"/>
          </w:tcPr>
          <w:p>
            <w:pPr>
              <w:spacing w:line="240" w:lineRule="auto"/>
              <w:ind w:firstLine="0" w:firstLineChars="0"/>
              <w:jc w:val="center"/>
              <w:rPr>
                <w:rFonts w:hint="default" w:ascii="Times New Roman" w:hAnsi="Times New Roman" w:eastAsia="仿宋" w:cs="Times New Roman"/>
                <w:b/>
                <w:bCs/>
                <w:kern w:val="0"/>
                <w:sz w:val="24"/>
                <w:szCs w:val="24"/>
              </w:rPr>
            </w:pPr>
            <w:r>
              <w:rPr>
                <w:rFonts w:hint="default" w:ascii="Times New Roman" w:hAnsi="Times New Roman" w:eastAsia="仿宋" w:cs="Times New Roman"/>
                <w:b/>
                <w:bCs/>
                <w:kern w:val="0"/>
                <w:sz w:val="24"/>
                <w:szCs w:val="24"/>
              </w:rPr>
              <w:t>指标值</w:t>
            </w:r>
          </w:p>
        </w:tc>
        <w:tc>
          <w:tcPr>
            <w:tcW w:w="3269" w:type="dxa"/>
            <w:vMerge w:val="restart"/>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仿宋" w:cs="Times New Roman"/>
                <w:b/>
                <w:bCs/>
                <w:kern w:val="0"/>
                <w:sz w:val="24"/>
                <w:szCs w:val="24"/>
              </w:rPr>
            </w:pPr>
            <w:r>
              <w:rPr>
                <w:rFonts w:hint="default" w:ascii="Times New Roman" w:hAnsi="Times New Roman" w:eastAsia="仿宋" w:cs="Times New Roman"/>
                <w:b/>
                <w:bCs/>
                <w:kern w:val="0"/>
                <w:sz w:val="24"/>
                <w:szCs w:val="24"/>
              </w:rPr>
              <w:t>现状值</w:t>
            </w:r>
          </w:p>
          <w:p>
            <w:pPr>
              <w:widowControl/>
              <w:spacing w:line="240" w:lineRule="auto"/>
              <w:ind w:firstLine="0" w:firstLineChars="0"/>
              <w:jc w:val="center"/>
              <w:rPr>
                <w:rFonts w:hint="default" w:ascii="Times New Roman" w:hAnsi="Times New Roman" w:eastAsia="仿宋" w:cs="Times New Roman"/>
                <w:b/>
                <w:bCs/>
                <w:kern w:val="0"/>
                <w:sz w:val="24"/>
                <w:szCs w:val="24"/>
              </w:rPr>
            </w:pPr>
            <w:r>
              <w:rPr>
                <w:rFonts w:hint="default" w:ascii="Times New Roman" w:hAnsi="Times New Roman" w:eastAsia="仿宋" w:cs="Times New Roman"/>
                <w:b/>
                <w:bCs/>
                <w:kern w:val="0"/>
                <w:sz w:val="24"/>
                <w:szCs w:val="24"/>
              </w:rPr>
              <w:t>2022年</w:t>
            </w:r>
          </w:p>
        </w:tc>
        <w:tc>
          <w:tcPr>
            <w:tcW w:w="1700" w:type="dxa"/>
            <w:gridSpan w:val="2"/>
            <w:shd w:val="clear" w:color="auto" w:fill="auto"/>
            <w:vAlign w:val="center"/>
          </w:tcPr>
          <w:p>
            <w:pPr>
              <w:spacing w:line="240" w:lineRule="auto"/>
              <w:ind w:firstLine="0" w:firstLineChars="0"/>
              <w:jc w:val="center"/>
              <w:rPr>
                <w:rFonts w:hint="default" w:ascii="Times New Roman" w:hAnsi="Times New Roman" w:eastAsia="仿宋" w:cs="Times New Roman"/>
                <w:b/>
                <w:bCs/>
                <w:kern w:val="0"/>
                <w:sz w:val="24"/>
                <w:szCs w:val="24"/>
              </w:rPr>
            </w:pPr>
            <w:r>
              <w:rPr>
                <w:rFonts w:hint="default" w:ascii="Times New Roman" w:hAnsi="Times New Roman" w:eastAsia="仿宋" w:cs="Times New Roman"/>
                <w:b/>
                <w:bCs/>
                <w:kern w:val="0"/>
                <w:sz w:val="24"/>
                <w:szCs w:val="24"/>
              </w:rPr>
              <w:t>规划目标值</w:t>
            </w:r>
          </w:p>
        </w:tc>
        <w:tc>
          <w:tcPr>
            <w:tcW w:w="993" w:type="dxa"/>
            <w:vMerge w:val="restart"/>
            <w:shd w:val="clear" w:color="auto" w:fill="FFFFFF" w:themeFill="background1"/>
            <w:vAlign w:val="center"/>
          </w:tcPr>
          <w:p>
            <w:pPr>
              <w:widowControl/>
              <w:spacing w:line="240" w:lineRule="auto"/>
              <w:ind w:firstLine="0" w:firstLineChars="0"/>
              <w:jc w:val="center"/>
              <w:rPr>
                <w:rFonts w:hint="default" w:ascii="Times New Roman" w:hAnsi="Times New Roman" w:eastAsia="仿宋" w:cs="Times New Roman"/>
                <w:b/>
                <w:bCs/>
                <w:kern w:val="0"/>
                <w:sz w:val="24"/>
                <w:szCs w:val="24"/>
              </w:rPr>
            </w:pPr>
            <w:r>
              <w:rPr>
                <w:rFonts w:hint="default" w:ascii="Times New Roman" w:hAnsi="Times New Roman" w:eastAsia="仿宋" w:cs="Times New Roman"/>
                <w:b/>
                <w:bCs/>
                <w:kern w:val="0"/>
                <w:sz w:val="24"/>
                <w:szCs w:val="24"/>
              </w:rPr>
              <w:t>指标</w:t>
            </w:r>
          </w:p>
          <w:p>
            <w:pPr>
              <w:widowControl/>
              <w:spacing w:line="240" w:lineRule="auto"/>
              <w:ind w:firstLine="0" w:firstLineChars="0"/>
              <w:jc w:val="center"/>
              <w:rPr>
                <w:rFonts w:hint="default" w:ascii="Times New Roman" w:hAnsi="Times New Roman" w:eastAsia="仿宋" w:cs="Times New Roman"/>
                <w:b/>
                <w:bCs/>
                <w:kern w:val="0"/>
                <w:sz w:val="24"/>
                <w:szCs w:val="24"/>
              </w:rPr>
            </w:pPr>
            <w:r>
              <w:rPr>
                <w:rFonts w:hint="default" w:ascii="Times New Roman" w:hAnsi="Times New Roman" w:eastAsia="仿宋" w:cs="Times New Roman"/>
                <w:b/>
                <w:bCs/>
                <w:kern w:val="0"/>
                <w:sz w:val="24"/>
                <w:szCs w:val="24"/>
              </w:rPr>
              <w:t>属性</w:t>
            </w:r>
          </w:p>
        </w:tc>
        <w:tc>
          <w:tcPr>
            <w:tcW w:w="850" w:type="dxa"/>
            <w:vMerge w:val="restart"/>
            <w:shd w:val="clear" w:color="auto" w:fill="FFFFFF" w:themeFill="background1"/>
            <w:vAlign w:val="center"/>
          </w:tcPr>
          <w:p>
            <w:pPr>
              <w:widowControl/>
              <w:spacing w:line="240" w:lineRule="auto"/>
              <w:ind w:firstLine="0" w:firstLineChars="0"/>
              <w:jc w:val="center"/>
              <w:rPr>
                <w:rFonts w:hint="default" w:ascii="Times New Roman" w:hAnsi="Times New Roman" w:eastAsia="仿宋" w:cs="Times New Roman"/>
                <w:b/>
                <w:bCs/>
                <w:kern w:val="0"/>
                <w:sz w:val="24"/>
                <w:szCs w:val="24"/>
              </w:rPr>
            </w:pPr>
            <w:r>
              <w:rPr>
                <w:rFonts w:hint="default" w:ascii="Times New Roman" w:hAnsi="Times New Roman" w:eastAsia="仿宋" w:cs="Times New Roman"/>
                <w:b/>
                <w:bCs/>
                <w:kern w:val="0"/>
                <w:sz w:val="24"/>
                <w:szCs w:val="24"/>
              </w:rPr>
              <w:t>现状达标情况</w:t>
            </w:r>
          </w:p>
        </w:tc>
        <w:tc>
          <w:tcPr>
            <w:tcW w:w="1904" w:type="dxa"/>
            <w:vMerge w:val="restart"/>
            <w:shd w:val="clear" w:color="auto" w:fill="FFFFFF" w:themeFill="background1"/>
            <w:vAlign w:val="center"/>
          </w:tcPr>
          <w:p>
            <w:pPr>
              <w:widowControl/>
              <w:spacing w:line="240" w:lineRule="auto"/>
              <w:ind w:firstLine="0" w:firstLineChars="0"/>
              <w:jc w:val="center"/>
              <w:rPr>
                <w:rFonts w:hint="default" w:ascii="Times New Roman" w:hAnsi="Times New Roman" w:eastAsia="仿宋" w:cs="Times New Roman"/>
                <w:b/>
                <w:bCs/>
                <w:kern w:val="0"/>
                <w:sz w:val="24"/>
                <w:szCs w:val="24"/>
              </w:rPr>
            </w:pPr>
            <w:r>
              <w:rPr>
                <w:rFonts w:hint="default" w:ascii="Times New Roman" w:hAnsi="Times New Roman" w:eastAsia="仿宋" w:cs="Times New Roman"/>
                <w:b/>
                <w:bCs/>
                <w:kern w:val="0"/>
                <w:sz w:val="24"/>
                <w:szCs w:val="24"/>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0" w:type="auto"/>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2378" w:type="dxa"/>
            <w:gridSpan w:val="3"/>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464"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1188" w:type="dxa"/>
            <w:vMerge w:val="continue"/>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p>
        </w:tc>
        <w:tc>
          <w:tcPr>
            <w:tcW w:w="3269"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850" w:type="dxa"/>
            <w:shd w:val="clear" w:color="auto" w:fill="auto"/>
            <w:tcMar>
              <w:left w:w="28" w:type="dxa"/>
              <w:right w:w="28" w:type="dxa"/>
            </w:tcMar>
            <w:vAlign w:val="center"/>
          </w:tcPr>
          <w:p>
            <w:pPr>
              <w:spacing w:line="240" w:lineRule="auto"/>
              <w:ind w:firstLine="0" w:firstLineChars="0"/>
              <w:jc w:val="center"/>
              <w:rPr>
                <w:rFonts w:hint="default" w:ascii="Times New Roman" w:hAnsi="Times New Roman" w:eastAsia="仿宋" w:cs="Times New Roman"/>
                <w:b/>
                <w:bCs/>
                <w:kern w:val="0"/>
                <w:sz w:val="24"/>
                <w:szCs w:val="24"/>
              </w:rPr>
            </w:pPr>
            <w:r>
              <w:rPr>
                <w:rFonts w:hint="default" w:ascii="Times New Roman" w:hAnsi="Times New Roman" w:eastAsia="仿宋" w:cs="Times New Roman"/>
                <w:b/>
                <w:bCs/>
                <w:kern w:val="0"/>
                <w:sz w:val="24"/>
                <w:szCs w:val="24"/>
              </w:rPr>
              <w:t>2026年</w:t>
            </w:r>
          </w:p>
        </w:tc>
        <w:tc>
          <w:tcPr>
            <w:tcW w:w="850" w:type="dxa"/>
            <w:shd w:val="clear" w:color="auto" w:fill="auto"/>
            <w:tcMar>
              <w:left w:w="28" w:type="dxa"/>
              <w:right w:w="28" w:type="dxa"/>
            </w:tcMar>
            <w:vAlign w:val="center"/>
          </w:tcPr>
          <w:p>
            <w:pPr>
              <w:spacing w:line="240" w:lineRule="auto"/>
              <w:ind w:firstLine="0" w:firstLineChars="0"/>
              <w:jc w:val="center"/>
              <w:rPr>
                <w:rFonts w:hint="default" w:ascii="Times New Roman" w:hAnsi="Times New Roman" w:eastAsia="仿宋" w:cs="Times New Roman"/>
                <w:b/>
                <w:bCs/>
                <w:kern w:val="0"/>
                <w:sz w:val="24"/>
                <w:szCs w:val="24"/>
              </w:rPr>
            </w:pPr>
            <w:r>
              <w:rPr>
                <w:rFonts w:hint="default" w:ascii="Times New Roman" w:hAnsi="Times New Roman" w:eastAsia="仿宋" w:cs="Times New Roman"/>
                <w:b/>
                <w:bCs/>
                <w:kern w:val="0"/>
                <w:sz w:val="24"/>
                <w:szCs w:val="24"/>
              </w:rPr>
              <w:t>2030年</w:t>
            </w:r>
          </w:p>
        </w:tc>
        <w:tc>
          <w:tcPr>
            <w:tcW w:w="993" w:type="dxa"/>
            <w:vMerge w:val="continue"/>
            <w:shd w:val="clear" w:color="auto" w:fill="FFFFFF" w:themeFill="background1"/>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850" w:type="dxa"/>
            <w:vMerge w:val="continue"/>
            <w:shd w:val="clear" w:color="auto" w:fill="FFFFFF" w:themeFill="background1"/>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1904" w:type="dxa"/>
            <w:vMerge w:val="continue"/>
            <w:shd w:val="clear" w:color="auto" w:fill="FFFFFF" w:themeFill="background1"/>
          </w:tcPr>
          <w:p>
            <w:pPr>
              <w:widowControl/>
              <w:spacing w:line="240" w:lineRule="auto"/>
              <w:ind w:firstLine="0" w:firstLineChars="0"/>
              <w:jc w:val="center"/>
              <w:rPr>
                <w:rFonts w:hint="default" w:ascii="Times New Roman" w:hAnsi="Times New Roman" w:eastAsia="仿宋"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0" w:type="auto"/>
            <w:vMerge w:val="restart"/>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生态制度</w:t>
            </w:r>
          </w:p>
        </w:tc>
        <w:tc>
          <w:tcPr>
            <w:tcW w:w="943" w:type="dxa"/>
            <w:vMerge w:val="restart"/>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（一）</w:t>
            </w:r>
          </w:p>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目标责任体系与制度建设</w:t>
            </w:r>
          </w:p>
        </w:tc>
        <w:tc>
          <w:tcPr>
            <w:tcW w:w="525"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w:t>
            </w:r>
          </w:p>
        </w:tc>
        <w:tc>
          <w:tcPr>
            <w:tcW w:w="1853" w:type="dxa"/>
            <w:gridSpan w:val="2"/>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生态文明建设规划</w:t>
            </w:r>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制定实施</w:t>
            </w:r>
          </w:p>
        </w:tc>
        <w:tc>
          <w:tcPr>
            <w:tcW w:w="3269"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编制中</w:t>
            </w:r>
          </w:p>
        </w:tc>
        <w:tc>
          <w:tcPr>
            <w:tcW w:w="850" w:type="dxa"/>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制定</w:t>
            </w:r>
          </w:p>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实施</w:t>
            </w:r>
          </w:p>
        </w:tc>
        <w:tc>
          <w:tcPr>
            <w:tcW w:w="850" w:type="dxa"/>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制定</w:t>
            </w:r>
          </w:p>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实施</w:t>
            </w:r>
          </w:p>
        </w:tc>
        <w:tc>
          <w:tcPr>
            <w:tcW w:w="993" w:type="dxa"/>
            <w:shd w:val="clear" w:color="auto" w:fill="FFFFFF" w:themeFill="background1"/>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约束性</w:t>
            </w:r>
          </w:p>
        </w:tc>
        <w:tc>
          <w:tcPr>
            <w:tcW w:w="850" w:type="dxa"/>
            <w:shd w:val="clear" w:color="auto" w:fill="FFFFFF" w:themeFill="background1"/>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未达标</w:t>
            </w:r>
          </w:p>
        </w:tc>
        <w:tc>
          <w:tcPr>
            <w:tcW w:w="1904" w:type="dxa"/>
            <w:shd w:val="clear" w:color="auto" w:fill="FFFFFF" w:themeFill="background1"/>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兴安</w:t>
            </w:r>
            <w:r>
              <w:rPr>
                <w:rFonts w:hint="default" w:ascii="Times New Roman" w:hAnsi="Times New Roman" w:eastAsia="仿宋" w:cs="Times New Roman"/>
                <w:kern w:val="0"/>
                <w:sz w:val="24"/>
                <w:szCs w:val="24"/>
                <w:lang w:eastAsia="zh-CN"/>
              </w:rPr>
              <w:t>生态环境</w:t>
            </w:r>
            <w:r>
              <w:rPr>
                <w:rFonts w:hint="default" w:ascii="Times New Roman" w:hAnsi="Times New Roman" w:eastAsia="仿宋" w:cs="Times New Roman"/>
                <w:kern w:val="0"/>
                <w:sz w:val="24"/>
                <w:szCs w:val="24"/>
              </w:rPr>
              <w:t>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0" w:type="auto"/>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525"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2</w:t>
            </w:r>
          </w:p>
        </w:tc>
        <w:tc>
          <w:tcPr>
            <w:tcW w:w="1853" w:type="dxa"/>
            <w:gridSpan w:val="2"/>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党委政府对生态文明建设重大目标任务部署情况</w:t>
            </w:r>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有效开展</w:t>
            </w:r>
          </w:p>
        </w:tc>
        <w:tc>
          <w:tcPr>
            <w:tcW w:w="3269"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有效开展</w:t>
            </w:r>
          </w:p>
        </w:tc>
        <w:tc>
          <w:tcPr>
            <w:tcW w:w="850" w:type="dxa"/>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有效</w:t>
            </w:r>
          </w:p>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开展</w:t>
            </w:r>
          </w:p>
        </w:tc>
        <w:tc>
          <w:tcPr>
            <w:tcW w:w="850" w:type="dxa"/>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有效</w:t>
            </w:r>
          </w:p>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开展</w:t>
            </w:r>
          </w:p>
        </w:tc>
        <w:tc>
          <w:tcPr>
            <w:tcW w:w="993"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约束性</w:t>
            </w:r>
          </w:p>
        </w:tc>
        <w:tc>
          <w:tcPr>
            <w:tcW w:w="850" w:type="dxa"/>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达标</w:t>
            </w:r>
          </w:p>
        </w:tc>
        <w:tc>
          <w:tcPr>
            <w:tcW w:w="1904" w:type="dxa"/>
            <w:vAlign w:val="center"/>
          </w:tcPr>
          <w:p>
            <w:pPr>
              <w:snapToGrid w:val="0"/>
              <w:spacing w:line="240" w:lineRule="auto"/>
              <w:ind w:firstLine="0" w:firstLineChars="0"/>
              <w:rPr>
                <w:rFonts w:hint="default" w:ascii="Times New Roman" w:hAnsi="Times New Roman" w:eastAsia="仿宋" w:cs="Times New Roman"/>
                <w:kern w:val="0"/>
                <w:sz w:val="24"/>
                <w:szCs w:val="24"/>
                <w:lang w:eastAsia="zh-CN"/>
              </w:rPr>
            </w:pPr>
            <w:r>
              <w:rPr>
                <w:rFonts w:hint="default" w:ascii="Times New Roman" w:hAnsi="Times New Roman" w:eastAsia="仿宋" w:cs="Times New Roman"/>
                <w:kern w:val="0"/>
                <w:sz w:val="24"/>
                <w:szCs w:val="24"/>
              </w:rPr>
              <w:t>县委办</w:t>
            </w:r>
            <w:r>
              <w:rPr>
                <w:rFonts w:hint="default" w:ascii="Times New Roman" w:hAnsi="Times New Roman" w:eastAsia="仿宋" w:cs="Times New Roman"/>
                <w:kern w:val="0"/>
                <w:sz w:val="24"/>
                <w:szCs w:val="24"/>
                <w:lang w:eastAsia="zh-CN"/>
              </w:rPr>
              <w:t>公室</w:t>
            </w:r>
            <w:r>
              <w:rPr>
                <w:rFonts w:hint="default" w:ascii="Times New Roman" w:hAnsi="Times New Roman" w:eastAsia="仿宋" w:cs="Times New Roman"/>
                <w:kern w:val="0"/>
                <w:sz w:val="24"/>
                <w:szCs w:val="24"/>
              </w:rPr>
              <w:t>、县政府办</w:t>
            </w:r>
            <w:r>
              <w:rPr>
                <w:rFonts w:hint="default" w:ascii="Times New Roman" w:hAnsi="Times New Roman" w:eastAsia="仿宋" w:cs="Times New Roman"/>
                <w:kern w:val="0"/>
                <w:sz w:val="24"/>
                <w:szCs w:val="24"/>
                <w:lang w:eastAsia="zh-CN"/>
              </w:rPr>
              <w:t>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7" w:hRule="atLeast"/>
          <w:jc w:val="center"/>
        </w:trPr>
        <w:tc>
          <w:tcPr>
            <w:tcW w:w="0" w:type="auto"/>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525"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3</w:t>
            </w:r>
          </w:p>
        </w:tc>
        <w:tc>
          <w:tcPr>
            <w:tcW w:w="1853" w:type="dxa"/>
            <w:gridSpan w:val="2"/>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生态文明建设工作占党政实绩考核的比例</w:t>
            </w:r>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≥20</w:t>
            </w:r>
          </w:p>
        </w:tc>
        <w:tc>
          <w:tcPr>
            <w:tcW w:w="3269"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20.8</w:t>
            </w:r>
          </w:p>
        </w:tc>
        <w:tc>
          <w:tcPr>
            <w:tcW w:w="850" w:type="dxa"/>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≥21</w:t>
            </w:r>
          </w:p>
        </w:tc>
        <w:tc>
          <w:tcPr>
            <w:tcW w:w="850" w:type="dxa"/>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≥21</w:t>
            </w:r>
          </w:p>
        </w:tc>
        <w:tc>
          <w:tcPr>
            <w:tcW w:w="993"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约束性</w:t>
            </w:r>
          </w:p>
        </w:tc>
        <w:tc>
          <w:tcPr>
            <w:tcW w:w="850" w:type="dxa"/>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达标</w:t>
            </w:r>
          </w:p>
        </w:tc>
        <w:tc>
          <w:tcPr>
            <w:tcW w:w="1904" w:type="dxa"/>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县委组织部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2" w:hRule="atLeast"/>
          <w:jc w:val="center"/>
        </w:trPr>
        <w:tc>
          <w:tcPr>
            <w:tcW w:w="0" w:type="auto"/>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525"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4</w:t>
            </w:r>
          </w:p>
        </w:tc>
        <w:tc>
          <w:tcPr>
            <w:tcW w:w="1853" w:type="dxa"/>
            <w:gridSpan w:val="2"/>
            <w:shd w:val="clear" w:color="auto" w:fill="auto"/>
            <w:vAlign w:val="center"/>
          </w:tcPr>
          <w:p>
            <w:pPr>
              <w:widowControl/>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河长制</w:t>
            </w:r>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全面实施</w:t>
            </w:r>
          </w:p>
        </w:tc>
        <w:tc>
          <w:tcPr>
            <w:tcW w:w="3269"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全面实施</w:t>
            </w:r>
          </w:p>
        </w:tc>
        <w:tc>
          <w:tcPr>
            <w:tcW w:w="850" w:type="dxa"/>
            <w:shd w:val="clear" w:color="auto" w:fill="auto"/>
            <w:tcMar>
              <w:left w:w="28" w:type="dxa"/>
              <w:right w:w="28" w:type="dxa"/>
            </w:tcMar>
            <w:vAlign w:val="center"/>
          </w:tcPr>
          <w:p>
            <w:pPr>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全面</w:t>
            </w:r>
          </w:p>
          <w:p>
            <w:pPr>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实施</w:t>
            </w:r>
          </w:p>
        </w:tc>
        <w:tc>
          <w:tcPr>
            <w:tcW w:w="850" w:type="dxa"/>
            <w:shd w:val="clear" w:color="auto" w:fill="auto"/>
            <w:tcMar>
              <w:left w:w="28" w:type="dxa"/>
              <w:right w:w="28" w:type="dxa"/>
            </w:tcMar>
            <w:vAlign w:val="center"/>
          </w:tcPr>
          <w:p>
            <w:pPr>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全面</w:t>
            </w:r>
          </w:p>
          <w:p>
            <w:pPr>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实施</w:t>
            </w:r>
          </w:p>
        </w:tc>
        <w:tc>
          <w:tcPr>
            <w:tcW w:w="993"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约束性</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达标</w:t>
            </w:r>
          </w:p>
        </w:tc>
        <w:tc>
          <w:tcPr>
            <w:tcW w:w="1904" w:type="dxa"/>
            <w:vAlign w:val="center"/>
          </w:tcPr>
          <w:p>
            <w:pPr>
              <w:widowControl/>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县水利局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7" w:hRule="atLeast"/>
          <w:jc w:val="center"/>
        </w:trPr>
        <w:tc>
          <w:tcPr>
            <w:tcW w:w="0" w:type="auto"/>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525"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5</w:t>
            </w:r>
          </w:p>
        </w:tc>
        <w:tc>
          <w:tcPr>
            <w:tcW w:w="1853" w:type="dxa"/>
            <w:gridSpan w:val="2"/>
            <w:shd w:val="clear" w:color="auto" w:fill="auto"/>
            <w:vAlign w:val="center"/>
          </w:tcPr>
          <w:p>
            <w:pPr>
              <w:spacing w:line="240" w:lineRule="auto"/>
              <w:ind w:firstLine="0" w:firstLineChars="0"/>
              <w:jc w:val="left"/>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环境信息公开率</w:t>
            </w:r>
          </w:p>
        </w:tc>
        <w:tc>
          <w:tcPr>
            <w:tcW w:w="464" w:type="dxa"/>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100</w:t>
            </w:r>
          </w:p>
        </w:tc>
        <w:tc>
          <w:tcPr>
            <w:tcW w:w="3269" w:type="dxa"/>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100</w:t>
            </w:r>
          </w:p>
        </w:tc>
        <w:tc>
          <w:tcPr>
            <w:tcW w:w="850" w:type="dxa"/>
            <w:shd w:val="clear" w:color="auto" w:fill="auto"/>
            <w:tcMar>
              <w:left w:w="28" w:type="dxa"/>
              <w:right w:w="28" w:type="dxa"/>
            </w:tcMar>
            <w:vAlign w:val="center"/>
          </w:tcPr>
          <w:p>
            <w:pPr>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100</w:t>
            </w:r>
          </w:p>
        </w:tc>
        <w:tc>
          <w:tcPr>
            <w:tcW w:w="850" w:type="dxa"/>
            <w:shd w:val="clear" w:color="auto" w:fill="auto"/>
            <w:tcMar>
              <w:left w:w="28" w:type="dxa"/>
              <w:right w:w="28" w:type="dxa"/>
            </w:tcMar>
            <w:vAlign w:val="center"/>
          </w:tcPr>
          <w:p>
            <w:pPr>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100</w:t>
            </w:r>
          </w:p>
        </w:tc>
        <w:tc>
          <w:tcPr>
            <w:tcW w:w="993" w:type="dxa"/>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约束性</w:t>
            </w:r>
          </w:p>
        </w:tc>
        <w:tc>
          <w:tcPr>
            <w:tcW w:w="850" w:type="dxa"/>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达标</w:t>
            </w:r>
          </w:p>
        </w:tc>
        <w:tc>
          <w:tcPr>
            <w:tcW w:w="1904" w:type="dxa"/>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lang w:eastAsia="zh-CN"/>
              </w:rPr>
              <w:t>兴安</w:t>
            </w:r>
            <w:r>
              <w:rPr>
                <w:rFonts w:hint="default" w:ascii="Times New Roman" w:hAnsi="Times New Roman" w:eastAsia="仿宋" w:cs="Times New Roman"/>
                <w:kern w:val="0"/>
                <w:sz w:val="24"/>
                <w:szCs w:val="24"/>
              </w:rPr>
              <w:t>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jc w:val="center"/>
        </w:trPr>
        <w:tc>
          <w:tcPr>
            <w:tcW w:w="0" w:type="auto"/>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525"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6</w:t>
            </w:r>
          </w:p>
        </w:tc>
        <w:tc>
          <w:tcPr>
            <w:tcW w:w="1853" w:type="dxa"/>
            <w:gridSpan w:val="2"/>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依法开展规划环境影响评价</w:t>
            </w:r>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开展</w:t>
            </w:r>
          </w:p>
        </w:tc>
        <w:tc>
          <w:tcPr>
            <w:tcW w:w="3269" w:type="dxa"/>
            <w:shd w:val="clear" w:color="auto" w:fill="auto"/>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开展</w:t>
            </w:r>
          </w:p>
        </w:tc>
        <w:tc>
          <w:tcPr>
            <w:tcW w:w="850" w:type="dxa"/>
            <w:shd w:val="clear" w:color="auto" w:fill="auto"/>
            <w:tcMar>
              <w:left w:w="28" w:type="dxa"/>
              <w:right w:w="28" w:type="dxa"/>
            </w:tcMar>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开展</w:t>
            </w:r>
          </w:p>
        </w:tc>
        <w:tc>
          <w:tcPr>
            <w:tcW w:w="850" w:type="dxa"/>
            <w:shd w:val="clear" w:color="auto" w:fill="auto"/>
            <w:tcMar>
              <w:left w:w="28" w:type="dxa"/>
              <w:right w:w="28" w:type="dxa"/>
            </w:tcMar>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开展</w:t>
            </w:r>
          </w:p>
        </w:tc>
        <w:tc>
          <w:tcPr>
            <w:tcW w:w="993" w:type="dxa"/>
            <w:shd w:val="clear" w:color="auto" w:fill="auto"/>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参考性</w:t>
            </w:r>
          </w:p>
        </w:tc>
        <w:tc>
          <w:tcPr>
            <w:tcW w:w="850" w:type="dxa"/>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达标</w:t>
            </w:r>
          </w:p>
        </w:tc>
        <w:tc>
          <w:tcPr>
            <w:tcW w:w="1904" w:type="dxa"/>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lang w:eastAsia="zh-CN"/>
              </w:rPr>
              <w:t>兴安</w:t>
            </w:r>
            <w:r>
              <w:rPr>
                <w:rFonts w:hint="default" w:ascii="Times New Roman" w:hAnsi="Times New Roman" w:eastAsia="仿宋" w:cs="Times New Roman"/>
                <w:kern w:val="0"/>
                <w:sz w:val="24"/>
                <w:szCs w:val="24"/>
              </w:rPr>
              <w:t>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9" w:hRule="atLeast"/>
          <w:jc w:val="center"/>
        </w:trPr>
        <w:tc>
          <w:tcPr>
            <w:tcW w:w="0" w:type="auto"/>
            <w:vMerge w:val="restart"/>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生态安全</w:t>
            </w:r>
          </w:p>
        </w:tc>
        <w:tc>
          <w:tcPr>
            <w:tcW w:w="943" w:type="dxa"/>
            <w:vMerge w:val="restart"/>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（二）生态环境质量改善</w:t>
            </w:r>
          </w:p>
        </w:tc>
        <w:tc>
          <w:tcPr>
            <w:tcW w:w="525" w:type="dxa"/>
            <w:vMerge w:val="restart"/>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7</w:t>
            </w:r>
          </w:p>
        </w:tc>
        <w:tc>
          <w:tcPr>
            <w:tcW w:w="716" w:type="dxa"/>
            <w:vMerge w:val="restart"/>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环境空气质量</w:t>
            </w:r>
          </w:p>
        </w:tc>
        <w:tc>
          <w:tcPr>
            <w:tcW w:w="1137" w:type="dxa"/>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优良天数比例</w:t>
            </w:r>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vMerge w:val="restart"/>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完成上级规定的考核任务；保持稳定或持续改善</w:t>
            </w:r>
          </w:p>
        </w:tc>
        <w:tc>
          <w:tcPr>
            <w:tcW w:w="3269" w:type="dxa"/>
            <w:vMerge w:val="restart"/>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优良天数比例94.2%，目标93.5%；PM</w:t>
            </w:r>
            <w:r>
              <w:rPr>
                <w:rFonts w:hint="default" w:ascii="Times New Roman" w:hAnsi="Times New Roman" w:eastAsia="仿宋" w:cs="Times New Roman"/>
                <w:kern w:val="0"/>
                <w:sz w:val="24"/>
                <w:szCs w:val="24"/>
                <w:vertAlign w:val="subscript"/>
              </w:rPr>
              <w:t>2.5</w:t>
            </w:r>
            <w:r>
              <w:rPr>
                <w:rFonts w:hint="default" w:ascii="Times New Roman" w:hAnsi="Times New Roman" w:eastAsia="仿宋" w:cs="Times New Roman"/>
                <w:kern w:val="0"/>
                <w:sz w:val="24"/>
                <w:szCs w:val="24"/>
              </w:rPr>
              <w:t>浓度23.3μg/m³，目标28μg/m³</w:t>
            </w:r>
          </w:p>
        </w:tc>
        <w:tc>
          <w:tcPr>
            <w:tcW w:w="850" w:type="dxa"/>
            <w:vMerge w:val="restart"/>
            <w:shd w:val="clear" w:color="auto" w:fill="auto"/>
            <w:tcMar>
              <w:left w:w="28" w:type="dxa"/>
              <w:right w:w="28" w:type="dxa"/>
            </w:tcMar>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完成上级规定的考核任务；保持稳定或持续改善</w:t>
            </w:r>
          </w:p>
        </w:tc>
        <w:tc>
          <w:tcPr>
            <w:tcW w:w="850" w:type="dxa"/>
            <w:vMerge w:val="restart"/>
            <w:shd w:val="clear" w:color="auto" w:fill="auto"/>
            <w:tcMar>
              <w:left w:w="28" w:type="dxa"/>
              <w:right w:w="28" w:type="dxa"/>
            </w:tcMar>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完成上级规定的考核任务；保持稳定或持续改善</w:t>
            </w:r>
          </w:p>
        </w:tc>
        <w:tc>
          <w:tcPr>
            <w:tcW w:w="993" w:type="dxa"/>
            <w:vMerge w:val="restart"/>
            <w:shd w:val="clear" w:color="auto" w:fill="auto"/>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约束性</w:t>
            </w:r>
          </w:p>
        </w:tc>
        <w:tc>
          <w:tcPr>
            <w:tcW w:w="850" w:type="dxa"/>
            <w:vMerge w:val="restart"/>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达标</w:t>
            </w:r>
          </w:p>
        </w:tc>
        <w:tc>
          <w:tcPr>
            <w:tcW w:w="1904" w:type="dxa"/>
            <w:vMerge w:val="restart"/>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lang w:eastAsia="zh-CN"/>
              </w:rPr>
              <w:t>兴安</w:t>
            </w:r>
            <w:r>
              <w:rPr>
                <w:rFonts w:hint="default" w:ascii="Times New Roman" w:hAnsi="Times New Roman" w:eastAsia="仿宋" w:cs="Times New Roman"/>
                <w:kern w:val="0"/>
                <w:sz w:val="24"/>
                <w:szCs w:val="24"/>
              </w:rPr>
              <w:t>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9" w:hRule="atLeast"/>
          <w:jc w:val="center"/>
        </w:trPr>
        <w:tc>
          <w:tcPr>
            <w:tcW w:w="0" w:type="auto"/>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525"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716" w:type="dxa"/>
            <w:vMerge w:val="continue"/>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p>
        </w:tc>
        <w:tc>
          <w:tcPr>
            <w:tcW w:w="1137" w:type="dxa"/>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PM</w:t>
            </w:r>
            <w:r>
              <w:rPr>
                <w:rFonts w:hint="default" w:ascii="Times New Roman" w:hAnsi="Times New Roman" w:eastAsia="仿宋" w:cs="Times New Roman"/>
                <w:kern w:val="0"/>
                <w:sz w:val="24"/>
                <w:szCs w:val="24"/>
                <w:vertAlign w:val="subscript"/>
              </w:rPr>
              <w:t>2.5</w:t>
            </w:r>
            <w:r>
              <w:rPr>
                <w:rFonts w:hint="default" w:ascii="Times New Roman" w:hAnsi="Times New Roman" w:eastAsia="仿宋" w:cs="Times New Roman"/>
                <w:kern w:val="0"/>
                <w:sz w:val="24"/>
                <w:szCs w:val="24"/>
              </w:rPr>
              <w:t>下降幅度</w:t>
            </w:r>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3269" w:type="dxa"/>
            <w:vMerge w:val="continue"/>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仿宋" w:cs="Times New Roman"/>
                <w:kern w:val="0"/>
                <w:sz w:val="24"/>
                <w:szCs w:val="24"/>
              </w:rPr>
            </w:pPr>
          </w:p>
        </w:tc>
        <w:tc>
          <w:tcPr>
            <w:tcW w:w="850" w:type="dxa"/>
            <w:vMerge w:val="continue"/>
            <w:shd w:val="clear" w:color="auto" w:fill="auto"/>
            <w:tcMar>
              <w:left w:w="28" w:type="dxa"/>
              <w:right w:w="28" w:type="dxa"/>
            </w:tcMar>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p>
        </w:tc>
        <w:tc>
          <w:tcPr>
            <w:tcW w:w="850" w:type="dxa"/>
            <w:vMerge w:val="continue"/>
            <w:shd w:val="clear" w:color="auto" w:fill="auto"/>
            <w:tcMar>
              <w:left w:w="28" w:type="dxa"/>
              <w:right w:w="28" w:type="dxa"/>
            </w:tcMar>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p>
        </w:tc>
        <w:tc>
          <w:tcPr>
            <w:tcW w:w="993" w:type="dxa"/>
            <w:vMerge w:val="continue"/>
            <w:shd w:val="clear" w:color="auto" w:fill="auto"/>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p>
        </w:tc>
        <w:tc>
          <w:tcPr>
            <w:tcW w:w="850" w:type="dxa"/>
            <w:vMerge w:val="continue"/>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p>
        </w:tc>
        <w:tc>
          <w:tcPr>
            <w:tcW w:w="1904" w:type="dxa"/>
            <w:vMerge w:val="continue"/>
            <w:vAlign w:val="center"/>
          </w:tcPr>
          <w:p>
            <w:pPr>
              <w:snapToGrid w:val="0"/>
              <w:spacing w:line="240" w:lineRule="auto"/>
              <w:ind w:firstLine="0" w:firstLineChars="0"/>
              <w:rPr>
                <w:rFonts w:hint="default" w:ascii="Times New Roman" w:hAnsi="Times New Roman" w:eastAsia="仿宋"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8" w:hRule="atLeast"/>
          <w:jc w:val="center"/>
        </w:trPr>
        <w:tc>
          <w:tcPr>
            <w:tcW w:w="0" w:type="auto"/>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525" w:type="dxa"/>
            <w:vMerge w:val="restart"/>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8</w:t>
            </w:r>
          </w:p>
        </w:tc>
        <w:tc>
          <w:tcPr>
            <w:tcW w:w="716" w:type="dxa"/>
            <w:vMerge w:val="restart"/>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水环境质量</w:t>
            </w:r>
          </w:p>
        </w:tc>
        <w:tc>
          <w:tcPr>
            <w:tcW w:w="1137" w:type="dxa"/>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水质达到或优于III类比例提高幅度</w:t>
            </w:r>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vMerge w:val="restart"/>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bookmarkStart w:id="31" w:name="_Hlk86678370"/>
            <w:r>
              <w:rPr>
                <w:rFonts w:hint="default" w:ascii="Times New Roman" w:hAnsi="Times New Roman" w:eastAsia="仿宋" w:cs="Times New Roman"/>
                <w:kern w:val="0"/>
                <w:sz w:val="24"/>
                <w:szCs w:val="24"/>
              </w:rPr>
              <w:t>完成上级规定的考核任务；保持稳定或持续改善</w:t>
            </w:r>
            <w:bookmarkEnd w:id="31"/>
          </w:p>
        </w:tc>
        <w:tc>
          <w:tcPr>
            <w:tcW w:w="3269" w:type="dxa"/>
            <w:vMerge w:val="restart"/>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国控、省控断面均为II类，目标II类。</w:t>
            </w:r>
          </w:p>
        </w:tc>
        <w:tc>
          <w:tcPr>
            <w:tcW w:w="850" w:type="dxa"/>
            <w:vMerge w:val="restart"/>
            <w:shd w:val="clear" w:color="auto" w:fill="auto"/>
            <w:tcMar>
              <w:left w:w="28" w:type="dxa"/>
              <w:right w:w="28" w:type="dxa"/>
            </w:tcMar>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完成上级规定的考核任务；保持稳定或持续改善</w:t>
            </w:r>
          </w:p>
        </w:tc>
        <w:tc>
          <w:tcPr>
            <w:tcW w:w="850" w:type="dxa"/>
            <w:vMerge w:val="restart"/>
            <w:shd w:val="clear" w:color="auto" w:fill="auto"/>
            <w:tcMar>
              <w:left w:w="28" w:type="dxa"/>
              <w:right w:w="28" w:type="dxa"/>
            </w:tcMar>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完成上级规定的考核任务；保持稳定或持续改善</w:t>
            </w:r>
          </w:p>
        </w:tc>
        <w:tc>
          <w:tcPr>
            <w:tcW w:w="993" w:type="dxa"/>
            <w:vMerge w:val="restart"/>
            <w:shd w:val="clear" w:color="auto" w:fill="auto"/>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约束性</w:t>
            </w:r>
          </w:p>
        </w:tc>
        <w:tc>
          <w:tcPr>
            <w:tcW w:w="850" w:type="dxa"/>
            <w:vMerge w:val="restart"/>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达标</w:t>
            </w:r>
          </w:p>
        </w:tc>
        <w:tc>
          <w:tcPr>
            <w:tcW w:w="1904" w:type="dxa"/>
            <w:vMerge w:val="restart"/>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lang w:eastAsia="zh-CN"/>
              </w:rPr>
              <w:t>兴安</w:t>
            </w:r>
            <w:r>
              <w:rPr>
                <w:rFonts w:hint="default" w:ascii="Times New Roman" w:hAnsi="Times New Roman" w:eastAsia="仿宋" w:cs="Times New Roman"/>
                <w:kern w:val="0"/>
                <w:sz w:val="24"/>
                <w:szCs w:val="24"/>
              </w:rPr>
              <w:t>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4" w:hRule="atLeast"/>
          <w:jc w:val="center"/>
        </w:trPr>
        <w:tc>
          <w:tcPr>
            <w:tcW w:w="0" w:type="auto"/>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525"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716" w:type="dxa"/>
            <w:vMerge w:val="continue"/>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p>
        </w:tc>
        <w:tc>
          <w:tcPr>
            <w:tcW w:w="1137" w:type="dxa"/>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劣V类水体比例下降幅度</w:t>
            </w:r>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3269" w:type="dxa"/>
            <w:vMerge w:val="continue"/>
            <w:shd w:val="clear" w:color="auto" w:fill="auto"/>
            <w:vAlign w:val="center"/>
          </w:tcPr>
          <w:p>
            <w:pPr>
              <w:widowControl/>
              <w:adjustRightInd w:val="0"/>
              <w:snapToGrid w:val="0"/>
              <w:spacing w:line="240" w:lineRule="auto"/>
              <w:ind w:firstLine="0" w:firstLineChars="0"/>
              <w:jc w:val="center"/>
              <w:rPr>
                <w:rFonts w:hint="default" w:ascii="Times New Roman" w:hAnsi="Times New Roman" w:eastAsia="仿宋" w:cs="Times New Roman"/>
                <w:kern w:val="0"/>
                <w:sz w:val="24"/>
                <w:szCs w:val="24"/>
              </w:rPr>
            </w:pPr>
          </w:p>
        </w:tc>
        <w:tc>
          <w:tcPr>
            <w:tcW w:w="850" w:type="dxa"/>
            <w:vMerge w:val="continue"/>
            <w:shd w:val="clear" w:color="auto" w:fill="auto"/>
            <w:tcMar>
              <w:left w:w="28" w:type="dxa"/>
              <w:right w:w="28" w:type="dxa"/>
            </w:tcMar>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p>
        </w:tc>
        <w:tc>
          <w:tcPr>
            <w:tcW w:w="850" w:type="dxa"/>
            <w:vMerge w:val="continue"/>
            <w:shd w:val="clear" w:color="auto" w:fill="auto"/>
            <w:tcMar>
              <w:left w:w="28" w:type="dxa"/>
              <w:right w:w="28" w:type="dxa"/>
            </w:tcMar>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p>
        </w:tc>
        <w:tc>
          <w:tcPr>
            <w:tcW w:w="993" w:type="dxa"/>
            <w:vMerge w:val="continue"/>
            <w:shd w:val="clear" w:color="auto" w:fill="auto"/>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p>
        </w:tc>
        <w:tc>
          <w:tcPr>
            <w:tcW w:w="850" w:type="dxa"/>
            <w:vMerge w:val="continue"/>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p>
        </w:tc>
        <w:tc>
          <w:tcPr>
            <w:tcW w:w="1904" w:type="dxa"/>
            <w:vMerge w:val="continue"/>
            <w:vAlign w:val="center"/>
          </w:tcPr>
          <w:p>
            <w:pPr>
              <w:snapToGrid w:val="0"/>
              <w:spacing w:line="240" w:lineRule="auto"/>
              <w:ind w:firstLine="0" w:firstLineChars="0"/>
              <w:rPr>
                <w:rFonts w:hint="default" w:ascii="Times New Roman" w:hAnsi="Times New Roman" w:eastAsia="仿宋"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8" w:hRule="atLeast"/>
          <w:jc w:val="center"/>
        </w:trPr>
        <w:tc>
          <w:tcPr>
            <w:tcW w:w="0" w:type="auto"/>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525"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716" w:type="dxa"/>
            <w:vMerge w:val="continue"/>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p>
        </w:tc>
        <w:tc>
          <w:tcPr>
            <w:tcW w:w="1137" w:type="dxa"/>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黑臭水体消除比例</w:t>
            </w:r>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3269" w:type="dxa"/>
            <w:vMerge w:val="continue"/>
            <w:shd w:val="clear" w:color="auto" w:fill="auto"/>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p>
        </w:tc>
        <w:tc>
          <w:tcPr>
            <w:tcW w:w="850" w:type="dxa"/>
            <w:vMerge w:val="continue"/>
            <w:shd w:val="clear" w:color="auto" w:fill="auto"/>
            <w:tcMar>
              <w:left w:w="28" w:type="dxa"/>
              <w:right w:w="28" w:type="dxa"/>
            </w:tcMar>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p>
        </w:tc>
        <w:tc>
          <w:tcPr>
            <w:tcW w:w="850" w:type="dxa"/>
            <w:vMerge w:val="continue"/>
            <w:shd w:val="clear" w:color="auto" w:fill="auto"/>
            <w:tcMar>
              <w:left w:w="28" w:type="dxa"/>
              <w:right w:w="28" w:type="dxa"/>
            </w:tcMar>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p>
        </w:tc>
        <w:tc>
          <w:tcPr>
            <w:tcW w:w="993" w:type="dxa"/>
            <w:vMerge w:val="continue"/>
            <w:shd w:val="clear" w:color="auto" w:fill="auto"/>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p>
        </w:tc>
        <w:tc>
          <w:tcPr>
            <w:tcW w:w="850" w:type="dxa"/>
            <w:vMerge w:val="continue"/>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p>
        </w:tc>
        <w:tc>
          <w:tcPr>
            <w:tcW w:w="1904" w:type="dxa"/>
            <w:vMerge w:val="continue"/>
            <w:vAlign w:val="center"/>
          </w:tcPr>
          <w:p>
            <w:pPr>
              <w:snapToGrid w:val="0"/>
              <w:spacing w:line="240" w:lineRule="auto"/>
              <w:ind w:firstLine="0" w:firstLineChars="0"/>
              <w:rPr>
                <w:rFonts w:hint="default" w:ascii="Times New Roman" w:hAnsi="Times New Roman" w:eastAsia="仿宋"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0" w:type="auto"/>
            <w:vMerge w:val="restart"/>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生态安全</w:t>
            </w:r>
          </w:p>
        </w:tc>
        <w:tc>
          <w:tcPr>
            <w:tcW w:w="943" w:type="dxa"/>
            <w:vMerge w:val="restart"/>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（三）生态系统保护</w:t>
            </w:r>
          </w:p>
        </w:tc>
        <w:tc>
          <w:tcPr>
            <w:tcW w:w="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9</w:t>
            </w:r>
          </w:p>
        </w:tc>
        <w:tc>
          <w:tcPr>
            <w:tcW w:w="1853"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生态质量指数（EQI）</w:t>
            </w:r>
          </w:p>
        </w:tc>
        <w:tc>
          <w:tcPr>
            <w:tcW w:w="464" w:type="dxa"/>
            <w:shd w:val="clear" w:color="auto" w:fill="auto"/>
            <w:vAlign w:val="center"/>
          </w:tcPr>
          <w:p>
            <w:pPr>
              <w:spacing w:line="240" w:lineRule="auto"/>
              <w:ind w:firstLine="0" w:firstLineChars="0"/>
              <w:jc w:val="center"/>
              <w:rPr>
                <w:rFonts w:hint="default" w:ascii="Times New Roman" w:hAnsi="Times New Roman" w:eastAsia="仿宋" w:cs="Times New Roman"/>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△EQI≥-1</w:t>
            </w:r>
          </w:p>
        </w:tc>
        <w:tc>
          <w:tcPr>
            <w:tcW w:w="3269"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-0.42</w:t>
            </w:r>
          </w:p>
        </w:tc>
        <w:tc>
          <w:tcPr>
            <w:tcW w:w="850" w:type="dxa"/>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w:t>
            </w:r>
          </w:p>
        </w:tc>
        <w:tc>
          <w:tcPr>
            <w:tcW w:w="850" w:type="dxa"/>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w:t>
            </w:r>
          </w:p>
        </w:tc>
        <w:tc>
          <w:tcPr>
            <w:tcW w:w="993"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约束性</w:t>
            </w:r>
          </w:p>
        </w:tc>
        <w:tc>
          <w:tcPr>
            <w:tcW w:w="850" w:type="dxa"/>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达标</w:t>
            </w:r>
          </w:p>
        </w:tc>
        <w:tc>
          <w:tcPr>
            <w:tcW w:w="1904" w:type="dxa"/>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lang w:eastAsia="zh-CN"/>
              </w:rPr>
              <w:t>兴安</w:t>
            </w:r>
            <w:r>
              <w:rPr>
                <w:rFonts w:hint="default" w:ascii="Times New Roman" w:hAnsi="Times New Roman" w:eastAsia="仿宋" w:cs="Times New Roman"/>
                <w:kern w:val="0"/>
                <w:sz w:val="24"/>
                <w:szCs w:val="24"/>
              </w:rPr>
              <w:t>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0" w:type="auto"/>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10</w:t>
            </w:r>
          </w:p>
        </w:tc>
        <w:tc>
          <w:tcPr>
            <w:tcW w:w="71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仿宋" w:cs="Times New Roman"/>
                <w:kern w:val="0"/>
                <w:sz w:val="24"/>
                <w:szCs w:val="24"/>
              </w:rPr>
            </w:pPr>
            <w:bookmarkStart w:id="32" w:name="_Hlk86086311"/>
            <w:r>
              <w:rPr>
                <w:rFonts w:hint="default" w:ascii="Times New Roman" w:hAnsi="Times New Roman" w:eastAsia="仿宋" w:cs="Times New Roman"/>
                <w:kern w:val="0"/>
                <w:sz w:val="24"/>
                <w:szCs w:val="24"/>
              </w:rPr>
              <w:t>林草覆盖率</w:t>
            </w:r>
            <w:bookmarkEnd w:id="32"/>
          </w:p>
        </w:tc>
        <w:tc>
          <w:tcPr>
            <w:tcW w:w="113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山地地区</w:t>
            </w:r>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≥60</w:t>
            </w:r>
          </w:p>
        </w:tc>
        <w:tc>
          <w:tcPr>
            <w:tcW w:w="3269"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bookmarkStart w:id="33" w:name="_Hlk150935465"/>
            <w:r>
              <w:rPr>
                <w:rFonts w:hint="default" w:ascii="Times New Roman" w:hAnsi="Times New Roman" w:eastAsia="仿宋" w:cs="Times New Roman"/>
                <w:kern w:val="0"/>
                <w:sz w:val="24"/>
                <w:szCs w:val="24"/>
              </w:rPr>
              <w:t>78.97</w:t>
            </w:r>
            <w:bookmarkEnd w:id="33"/>
          </w:p>
        </w:tc>
        <w:tc>
          <w:tcPr>
            <w:tcW w:w="850" w:type="dxa"/>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78.97</w:t>
            </w:r>
          </w:p>
        </w:tc>
        <w:tc>
          <w:tcPr>
            <w:tcW w:w="850" w:type="dxa"/>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78.97</w:t>
            </w:r>
          </w:p>
        </w:tc>
        <w:tc>
          <w:tcPr>
            <w:tcW w:w="993"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参考性</w:t>
            </w:r>
          </w:p>
        </w:tc>
        <w:tc>
          <w:tcPr>
            <w:tcW w:w="850" w:type="dxa"/>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达标</w:t>
            </w:r>
          </w:p>
        </w:tc>
        <w:tc>
          <w:tcPr>
            <w:tcW w:w="1904" w:type="dxa"/>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县林业局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0" w:type="auto"/>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525"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11</w:t>
            </w:r>
          </w:p>
        </w:tc>
        <w:tc>
          <w:tcPr>
            <w:tcW w:w="716"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生物多样性保护</w:t>
            </w:r>
          </w:p>
        </w:tc>
        <w:tc>
          <w:tcPr>
            <w:tcW w:w="113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仿宋" w:cs="Times New Roman"/>
                <w:kern w:val="0"/>
                <w:sz w:val="24"/>
                <w:szCs w:val="24"/>
              </w:rPr>
            </w:pPr>
            <w:bookmarkStart w:id="34" w:name="_Hlk86086618"/>
            <w:r>
              <w:rPr>
                <w:rFonts w:hint="default" w:ascii="Times New Roman" w:hAnsi="Times New Roman" w:eastAsia="仿宋" w:cs="Times New Roman"/>
                <w:spacing w:val="-6"/>
                <w:kern w:val="0"/>
                <w:sz w:val="24"/>
                <w:szCs w:val="24"/>
              </w:rPr>
              <w:t>国家重点保护野生动植物保护率</w:t>
            </w:r>
            <w:bookmarkEnd w:id="34"/>
          </w:p>
        </w:tc>
        <w:tc>
          <w:tcPr>
            <w:tcW w:w="464" w:type="dxa"/>
            <w:shd w:val="clear" w:color="auto" w:fill="auto"/>
            <w:vAlign w:val="center"/>
          </w:tcPr>
          <w:p>
            <w:pPr>
              <w:spacing w:line="240" w:lineRule="auto"/>
              <w:ind w:firstLine="0" w:firstLineChars="0"/>
              <w:jc w:val="center"/>
              <w:rPr>
                <w:rFonts w:hint="default" w:ascii="Times New Roman" w:hAnsi="Times New Roman" w:eastAsia="仿宋" w:cs="Times New Roman"/>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≥95</w:t>
            </w:r>
          </w:p>
        </w:tc>
        <w:tc>
          <w:tcPr>
            <w:tcW w:w="3269"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100</w:t>
            </w:r>
          </w:p>
        </w:tc>
        <w:tc>
          <w:tcPr>
            <w:tcW w:w="850" w:type="dxa"/>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100</w:t>
            </w:r>
          </w:p>
        </w:tc>
        <w:tc>
          <w:tcPr>
            <w:tcW w:w="850" w:type="dxa"/>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100</w:t>
            </w:r>
          </w:p>
        </w:tc>
        <w:tc>
          <w:tcPr>
            <w:tcW w:w="993" w:type="dxa"/>
            <w:vMerge w:val="restart"/>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参考性</w:t>
            </w:r>
          </w:p>
        </w:tc>
        <w:tc>
          <w:tcPr>
            <w:tcW w:w="850" w:type="dxa"/>
            <w:vMerge w:val="restart"/>
            <w:shd w:val="clear" w:color="auto" w:fill="auto"/>
            <w:vAlign w:val="center"/>
          </w:tcPr>
          <w:p>
            <w:pPr>
              <w:spacing w:line="240" w:lineRule="auto"/>
              <w:ind w:firstLine="0" w:firstLineChars="0"/>
              <w:jc w:val="center"/>
              <w:rPr>
                <w:rFonts w:hint="default" w:ascii="Times New Roman" w:hAnsi="Times New Roman" w:eastAsia="仿宋" w:cs="Times New Roman"/>
                <w:sz w:val="24"/>
                <w:szCs w:val="24"/>
              </w:rPr>
            </w:pPr>
            <w:r>
              <w:rPr>
                <w:rFonts w:hint="default" w:ascii="Times New Roman" w:hAnsi="Times New Roman" w:eastAsia="仿宋" w:cs="Times New Roman"/>
                <w:kern w:val="0"/>
                <w:sz w:val="24"/>
                <w:szCs w:val="24"/>
              </w:rPr>
              <w:t>达标</w:t>
            </w:r>
          </w:p>
        </w:tc>
        <w:tc>
          <w:tcPr>
            <w:tcW w:w="1904" w:type="dxa"/>
            <w:vMerge w:val="restart"/>
            <w:vAlign w:val="center"/>
          </w:tcPr>
          <w:p>
            <w:pPr>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县林业局、</w:t>
            </w:r>
            <w:r>
              <w:rPr>
                <w:rFonts w:hint="default" w:ascii="Times New Roman" w:hAnsi="Times New Roman" w:eastAsia="仿宋" w:cs="Times New Roman"/>
                <w:kern w:val="0"/>
                <w:sz w:val="24"/>
                <w:szCs w:val="24"/>
                <w:lang w:eastAsia="zh-CN"/>
              </w:rPr>
              <w:t>县</w:t>
            </w:r>
            <w:r>
              <w:rPr>
                <w:rFonts w:hint="default" w:ascii="Times New Roman" w:hAnsi="Times New Roman" w:eastAsia="仿宋" w:cs="Times New Roman"/>
                <w:kern w:val="0"/>
                <w:sz w:val="24"/>
                <w:szCs w:val="24"/>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0" w:type="auto"/>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52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kern w:val="0"/>
                <w:sz w:val="24"/>
                <w:szCs w:val="24"/>
              </w:rPr>
            </w:pPr>
          </w:p>
        </w:tc>
        <w:tc>
          <w:tcPr>
            <w:tcW w:w="716"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仿宋" w:cs="Times New Roman"/>
                <w:kern w:val="0"/>
                <w:sz w:val="24"/>
                <w:szCs w:val="24"/>
              </w:rPr>
            </w:pPr>
          </w:p>
        </w:tc>
        <w:tc>
          <w:tcPr>
            <w:tcW w:w="113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外来物种入侵</w:t>
            </w:r>
          </w:p>
        </w:tc>
        <w:tc>
          <w:tcPr>
            <w:tcW w:w="464" w:type="dxa"/>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不明显</w:t>
            </w:r>
          </w:p>
        </w:tc>
        <w:tc>
          <w:tcPr>
            <w:tcW w:w="3269"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不明显</w:t>
            </w:r>
          </w:p>
        </w:tc>
        <w:tc>
          <w:tcPr>
            <w:tcW w:w="850" w:type="dxa"/>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不明显</w:t>
            </w:r>
          </w:p>
        </w:tc>
        <w:tc>
          <w:tcPr>
            <w:tcW w:w="850" w:type="dxa"/>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不明显</w:t>
            </w:r>
          </w:p>
        </w:tc>
        <w:tc>
          <w:tcPr>
            <w:tcW w:w="993" w:type="dxa"/>
            <w:vMerge w:val="continue"/>
            <w:shd w:val="clear" w:color="auto" w:fill="auto"/>
            <w:vAlign w:val="center"/>
          </w:tcPr>
          <w:p>
            <w:pPr>
              <w:snapToGrid w:val="0"/>
              <w:spacing w:line="240" w:lineRule="auto"/>
              <w:ind w:firstLine="480"/>
              <w:jc w:val="center"/>
              <w:rPr>
                <w:rFonts w:hint="default" w:ascii="Times New Roman" w:hAnsi="Times New Roman" w:eastAsia="仿宋" w:cs="Times New Roman"/>
                <w:kern w:val="0"/>
                <w:sz w:val="24"/>
                <w:szCs w:val="24"/>
              </w:rPr>
            </w:pPr>
          </w:p>
        </w:tc>
        <w:tc>
          <w:tcPr>
            <w:tcW w:w="850" w:type="dxa"/>
            <w:vMerge w:val="continue"/>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p>
        </w:tc>
        <w:tc>
          <w:tcPr>
            <w:tcW w:w="1904" w:type="dxa"/>
            <w:vMerge w:val="continue"/>
            <w:vAlign w:val="center"/>
          </w:tcPr>
          <w:p>
            <w:pPr>
              <w:spacing w:line="240" w:lineRule="auto"/>
              <w:ind w:firstLine="0" w:firstLineChars="0"/>
              <w:rPr>
                <w:rFonts w:hint="default" w:ascii="Times New Roman" w:hAnsi="Times New Roman" w:eastAsia="仿宋"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0" w:type="auto"/>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52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kern w:val="0"/>
                <w:sz w:val="24"/>
                <w:szCs w:val="24"/>
              </w:rPr>
            </w:pPr>
          </w:p>
        </w:tc>
        <w:tc>
          <w:tcPr>
            <w:tcW w:w="716"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仿宋" w:cs="Times New Roman"/>
                <w:kern w:val="0"/>
                <w:sz w:val="24"/>
                <w:szCs w:val="24"/>
              </w:rPr>
            </w:pPr>
          </w:p>
        </w:tc>
        <w:tc>
          <w:tcPr>
            <w:tcW w:w="113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spacing w:val="-6"/>
                <w:kern w:val="0"/>
                <w:sz w:val="24"/>
                <w:szCs w:val="24"/>
              </w:rPr>
              <w:t>特有或指示性水生物种保持率</w:t>
            </w:r>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不降低</w:t>
            </w:r>
          </w:p>
        </w:tc>
        <w:tc>
          <w:tcPr>
            <w:tcW w:w="3269" w:type="dxa"/>
            <w:shd w:val="clear" w:color="auto" w:fill="auto"/>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不降低</w:t>
            </w:r>
          </w:p>
        </w:tc>
        <w:tc>
          <w:tcPr>
            <w:tcW w:w="850" w:type="dxa"/>
            <w:shd w:val="clear" w:color="auto" w:fill="auto"/>
            <w:tcMar>
              <w:left w:w="28" w:type="dxa"/>
              <w:right w:w="28" w:type="dxa"/>
            </w:tcMar>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不降低</w:t>
            </w:r>
          </w:p>
        </w:tc>
        <w:tc>
          <w:tcPr>
            <w:tcW w:w="850" w:type="dxa"/>
            <w:shd w:val="clear" w:color="auto" w:fill="auto"/>
            <w:tcMar>
              <w:left w:w="28" w:type="dxa"/>
              <w:right w:w="28" w:type="dxa"/>
            </w:tcMar>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不降低</w:t>
            </w:r>
          </w:p>
        </w:tc>
        <w:tc>
          <w:tcPr>
            <w:tcW w:w="993" w:type="dxa"/>
            <w:vMerge w:val="continue"/>
            <w:shd w:val="clear" w:color="auto" w:fill="auto"/>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p>
        </w:tc>
        <w:tc>
          <w:tcPr>
            <w:tcW w:w="850" w:type="dxa"/>
            <w:vMerge w:val="continue"/>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p>
        </w:tc>
        <w:tc>
          <w:tcPr>
            <w:tcW w:w="1904" w:type="dxa"/>
            <w:vMerge w:val="continue"/>
            <w:vAlign w:val="center"/>
          </w:tcPr>
          <w:p>
            <w:pPr>
              <w:snapToGrid w:val="0"/>
              <w:spacing w:line="240" w:lineRule="auto"/>
              <w:ind w:firstLine="0" w:firstLineChars="0"/>
              <w:rPr>
                <w:rFonts w:hint="default" w:ascii="Times New Roman" w:hAnsi="Times New Roman" w:eastAsia="仿宋"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0" w:type="auto"/>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restart"/>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（四）生态环境风险防范</w:t>
            </w:r>
          </w:p>
        </w:tc>
        <w:tc>
          <w:tcPr>
            <w:tcW w:w="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12</w:t>
            </w:r>
          </w:p>
        </w:tc>
        <w:tc>
          <w:tcPr>
            <w:tcW w:w="1853"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危险废物利用处置率</w:t>
            </w:r>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100</w:t>
            </w:r>
          </w:p>
        </w:tc>
        <w:tc>
          <w:tcPr>
            <w:tcW w:w="3269"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100</w:t>
            </w:r>
          </w:p>
        </w:tc>
        <w:tc>
          <w:tcPr>
            <w:tcW w:w="850" w:type="dxa"/>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100</w:t>
            </w:r>
          </w:p>
        </w:tc>
        <w:tc>
          <w:tcPr>
            <w:tcW w:w="850" w:type="dxa"/>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100</w:t>
            </w:r>
          </w:p>
        </w:tc>
        <w:tc>
          <w:tcPr>
            <w:tcW w:w="993"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约束性</w:t>
            </w:r>
          </w:p>
        </w:tc>
        <w:tc>
          <w:tcPr>
            <w:tcW w:w="850" w:type="dxa"/>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达标</w:t>
            </w:r>
          </w:p>
        </w:tc>
        <w:tc>
          <w:tcPr>
            <w:tcW w:w="1904" w:type="dxa"/>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lang w:eastAsia="zh-CN"/>
              </w:rPr>
              <w:t>兴安</w:t>
            </w:r>
            <w:r>
              <w:rPr>
                <w:rFonts w:hint="default" w:ascii="Times New Roman" w:hAnsi="Times New Roman" w:eastAsia="仿宋" w:cs="Times New Roman"/>
                <w:kern w:val="0"/>
                <w:sz w:val="24"/>
                <w:szCs w:val="24"/>
              </w:rPr>
              <w:t>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0" w:type="auto"/>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13</w:t>
            </w:r>
          </w:p>
        </w:tc>
        <w:tc>
          <w:tcPr>
            <w:tcW w:w="1853"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spacing w:val="-6"/>
                <w:kern w:val="0"/>
                <w:sz w:val="24"/>
                <w:szCs w:val="24"/>
              </w:rPr>
              <w:t>建设用地土壤污染风险管控和修复名录制度</w:t>
            </w:r>
          </w:p>
        </w:tc>
        <w:tc>
          <w:tcPr>
            <w:tcW w:w="464" w:type="dxa"/>
            <w:shd w:val="clear" w:color="auto" w:fill="auto"/>
            <w:vAlign w:val="center"/>
          </w:tcPr>
          <w:p>
            <w:pPr>
              <w:spacing w:line="240" w:lineRule="auto"/>
              <w:ind w:firstLine="0" w:firstLineChars="0"/>
              <w:jc w:val="center"/>
              <w:rPr>
                <w:rFonts w:hint="default" w:ascii="Times New Roman" w:hAnsi="Times New Roman" w:eastAsia="仿宋" w:cs="Times New Roman"/>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建立</w:t>
            </w:r>
          </w:p>
        </w:tc>
        <w:tc>
          <w:tcPr>
            <w:tcW w:w="3269"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建立</w:t>
            </w:r>
          </w:p>
        </w:tc>
        <w:tc>
          <w:tcPr>
            <w:tcW w:w="850" w:type="dxa"/>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建立</w:t>
            </w:r>
          </w:p>
        </w:tc>
        <w:tc>
          <w:tcPr>
            <w:tcW w:w="850" w:type="dxa"/>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建立</w:t>
            </w:r>
          </w:p>
        </w:tc>
        <w:tc>
          <w:tcPr>
            <w:tcW w:w="993"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参考性</w:t>
            </w:r>
          </w:p>
        </w:tc>
        <w:tc>
          <w:tcPr>
            <w:tcW w:w="850" w:type="dxa"/>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达标</w:t>
            </w:r>
          </w:p>
        </w:tc>
        <w:tc>
          <w:tcPr>
            <w:tcW w:w="1904" w:type="dxa"/>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lang w:eastAsia="zh-CN"/>
              </w:rPr>
              <w:t>兴安</w:t>
            </w:r>
            <w:r>
              <w:rPr>
                <w:rFonts w:hint="default" w:ascii="Times New Roman" w:hAnsi="Times New Roman" w:eastAsia="仿宋" w:cs="Times New Roman"/>
                <w:kern w:val="0"/>
                <w:sz w:val="24"/>
                <w:szCs w:val="24"/>
              </w:rPr>
              <w:t>生态环境局、县自然资源局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0" w:type="auto"/>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14</w:t>
            </w:r>
          </w:p>
        </w:tc>
        <w:tc>
          <w:tcPr>
            <w:tcW w:w="1853"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突发生态环境事件应急管理机制</w:t>
            </w:r>
          </w:p>
        </w:tc>
        <w:tc>
          <w:tcPr>
            <w:tcW w:w="464" w:type="dxa"/>
            <w:shd w:val="clear" w:color="auto" w:fill="auto"/>
            <w:vAlign w:val="center"/>
          </w:tcPr>
          <w:p>
            <w:pPr>
              <w:spacing w:line="240" w:lineRule="auto"/>
              <w:ind w:firstLine="0" w:firstLineChars="0"/>
              <w:jc w:val="center"/>
              <w:rPr>
                <w:rFonts w:hint="default" w:ascii="Times New Roman" w:hAnsi="Times New Roman" w:eastAsia="仿宋" w:cs="Times New Roman"/>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建立</w:t>
            </w:r>
          </w:p>
        </w:tc>
        <w:tc>
          <w:tcPr>
            <w:tcW w:w="3269"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建立</w:t>
            </w:r>
          </w:p>
        </w:tc>
        <w:tc>
          <w:tcPr>
            <w:tcW w:w="850" w:type="dxa"/>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建立</w:t>
            </w:r>
          </w:p>
        </w:tc>
        <w:tc>
          <w:tcPr>
            <w:tcW w:w="850" w:type="dxa"/>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建立</w:t>
            </w:r>
          </w:p>
        </w:tc>
        <w:tc>
          <w:tcPr>
            <w:tcW w:w="993"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约束性</w:t>
            </w:r>
          </w:p>
        </w:tc>
        <w:tc>
          <w:tcPr>
            <w:tcW w:w="850" w:type="dxa"/>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达标</w:t>
            </w:r>
          </w:p>
        </w:tc>
        <w:tc>
          <w:tcPr>
            <w:tcW w:w="1904" w:type="dxa"/>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lang w:eastAsia="zh-CN"/>
              </w:rPr>
              <w:t>兴安</w:t>
            </w:r>
            <w:r>
              <w:rPr>
                <w:rFonts w:hint="default" w:ascii="Times New Roman" w:hAnsi="Times New Roman" w:eastAsia="仿宋" w:cs="Times New Roman"/>
                <w:kern w:val="0"/>
                <w:sz w:val="24"/>
                <w:szCs w:val="24"/>
              </w:rPr>
              <w:t>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1" w:hRule="atLeast"/>
          <w:jc w:val="center"/>
        </w:trPr>
        <w:tc>
          <w:tcPr>
            <w:tcW w:w="0" w:type="auto"/>
            <w:vMerge w:val="restart"/>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生态空间</w:t>
            </w:r>
          </w:p>
        </w:tc>
        <w:tc>
          <w:tcPr>
            <w:tcW w:w="943" w:type="dxa"/>
            <w:vMerge w:val="restart"/>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（五）空间格局优化</w:t>
            </w:r>
          </w:p>
        </w:tc>
        <w:tc>
          <w:tcPr>
            <w:tcW w:w="525" w:type="dxa"/>
            <w:vMerge w:val="restart"/>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15</w:t>
            </w:r>
          </w:p>
        </w:tc>
        <w:tc>
          <w:tcPr>
            <w:tcW w:w="716" w:type="dxa"/>
            <w:vMerge w:val="restart"/>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自然生态空间</w:t>
            </w:r>
          </w:p>
        </w:tc>
        <w:tc>
          <w:tcPr>
            <w:tcW w:w="1137" w:type="dxa"/>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生态保护红线</w:t>
            </w:r>
          </w:p>
        </w:tc>
        <w:tc>
          <w:tcPr>
            <w:tcW w:w="464" w:type="dxa"/>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vMerge w:val="restart"/>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面积不减少，性质不改变，功能不降低</w:t>
            </w:r>
          </w:p>
        </w:tc>
        <w:tc>
          <w:tcPr>
            <w:tcW w:w="3269" w:type="dxa"/>
            <w:vMerge w:val="restart"/>
            <w:shd w:val="clear" w:color="auto" w:fill="auto"/>
            <w:vAlign w:val="center"/>
          </w:tcPr>
          <w:p>
            <w:pPr>
              <w:widowControl/>
              <w:spacing w:line="240" w:lineRule="auto"/>
              <w:ind w:firstLine="0" w:firstLineChars="0"/>
              <w:jc w:val="both"/>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划定并严守占国土面积33.38%的生态保护红线和7.07%的自然保护地面积不减少，性质不改变，功能不降低</w:t>
            </w:r>
          </w:p>
        </w:tc>
        <w:tc>
          <w:tcPr>
            <w:tcW w:w="850" w:type="dxa"/>
            <w:vMerge w:val="restart"/>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面积不减少，性质不改变，功能不降低</w:t>
            </w:r>
          </w:p>
        </w:tc>
        <w:tc>
          <w:tcPr>
            <w:tcW w:w="850" w:type="dxa"/>
            <w:vMerge w:val="restart"/>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面积不减少，性质不改变，功能不降低</w:t>
            </w:r>
          </w:p>
        </w:tc>
        <w:tc>
          <w:tcPr>
            <w:tcW w:w="993" w:type="dxa"/>
            <w:vMerge w:val="restart"/>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约束性</w:t>
            </w:r>
          </w:p>
        </w:tc>
        <w:tc>
          <w:tcPr>
            <w:tcW w:w="850" w:type="dxa"/>
            <w:vMerge w:val="restart"/>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达标</w:t>
            </w:r>
          </w:p>
        </w:tc>
        <w:tc>
          <w:tcPr>
            <w:tcW w:w="1904" w:type="dxa"/>
            <w:vMerge w:val="restart"/>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县自然资源局、</w:t>
            </w:r>
            <w:r>
              <w:rPr>
                <w:rFonts w:hint="default" w:ascii="Times New Roman" w:hAnsi="Times New Roman" w:eastAsia="仿宋" w:cs="Times New Roman"/>
                <w:kern w:val="0"/>
                <w:sz w:val="24"/>
                <w:szCs w:val="24"/>
                <w:lang w:eastAsia="zh-CN"/>
              </w:rPr>
              <w:t>县</w:t>
            </w:r>
            <w:r>
              <w:rPr>
                <w:rFonts w:hint="default" w:ascii="Times New Roman" w:hAnsi="Times New Roman" w:eastAsia="仿宋" w:cs="Times New Roman"/>
                <w:kern w:val="0"/>
                <w:sz w:val="24"/>
                <w:szCs w:val="24"/>
              </w:rPr>
              <w:t>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93" w:hRule="atLeast"/>
          <w:jc w:val="center"/>
        </w:trPr>
        <w:tc>
          <w:tcPr>
            <w:tcW w:w="0" w:type="auto"/>
            <w:vMerge w:val="continue"/>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p>
        </w:tc>
        <w:tc>
          <w:tcPr>
            <w:tcW w:w="525"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716" w:type="dxa"/>
            <w:vMerge w:val="continue"/>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p>
        </w:tc>
        <w:tc>
          <w:tcPr>
            <w:tcW w:w="1137"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自然保护地</w:t>
            </w:r>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3269" w:type="dxa"/>
            <w:vMerge w:val="continue"/>
            <w:shd w:val="clear" w:color="auto" w:fill="auto"/>
            <w:vAlign w:val="center"/>
          </w:tcPr>
          <w:p>
            <w:pPr>
              <w:widowControl/>
              <w:spacing w:line="240" w:lineRule="auto"/>
              <w:ind w:firstLine="0" w:firstLineChars="0"/>
              <w:jc w:val="both"/>
              <w:rPr>
                <w:rFonts w:hint="default" w:ascii="Times New Roman" w:hAnsi="Times New Roman" w:eastAsia="仿宋" w:cs="Times New Roman"/>
                <w:kern w:val="0"/>
                <w:sz w:val="24"/>
                <w:szCs w:val="24"/>
              </w:rPr>
            </w:pPr>
          </w:p>
        </w:tc>
        <w:tc>
          <w:tcPr>
            <w:tcW w:w="850"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850"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993"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850" w:type="dxa"/>
            <w:vMerge w:val="continue"/>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p>
        </w:tc>
        <w:tc>
          <w:tcPr>
            <w:tcW w:w="1904" w:type="dxa"/>
            <w:vMerge w:val="continue"/>
            <w:vAlign w:val="center"/>
          </w:tcPr>
          <w:p>
            <w:pPr>
              <w:snapToGrid w:val="0"/>
              <w:spacing w:line="240" w:lineRule="auto"/>
              <w:ind w:firstLine="0" w:firstLineChars="0"/>
              <w:rPr>
                <w:rFonts w:hint="default" w:ascii="Times New Roman" w:hAnsi="Times New Roman" w:eastAsia="仿宋"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2" w:hRule="atLeast"/>
          <w:jc w:val="center"/>
        </w:trPr>
        <w:tc>
          <w:tcPr>
            <w:tcW w:w="0" w:type="auto"/>
            <w:vMerge w:val="continue"/>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p>
        </w:tc>
        <w:tc>
          <w:tcPr>
            <w:tcW w:w="525"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16</w:t>
            </w:r>
          </w:p>
        </w:tc>
        <w:tc>
          <w:tcPr>
            <w:tcW w:w="1853" w:type="dxa"/>
            <w:gridSpan w:val="2"/>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河湖岸线保护率</w:t>
            </w:r>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完成上级管控目标</w:t>
            </w:r>
          </w:p>
        </w:tc>
        <w:tc>
          <w:tcPr>
            <w:tcW w:w="3269" w:type="dxa"/>
            <w:shd w:val="clear" w:color="auto" w:fill="auto"/>
            <w:vAlign w:val="center"/>
          </w:tcPr>
          <w:p>
            <w:pPr>
              <w:widowControl/>
              <w:spacing w:line="240" w:lineRule="auto"/>
              <w:ind w:firstLine="0" w:firstLineChars="0"/>
              <w:jc w:val="both"/>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按照自治区要求全县已于2020年底前完成了16条流域面积50平方公里以上、124条流域面积50平方公里以下的江河湖库管理范围划定及矢量水系图编制工作，完成全县流域面积50平方公里以上江河湖库管理范围界桩、公告牌设立。</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完成上级管控目标</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完成上级管控目标</w:t>
            </w:r>
          </w:p>
        </w:tc>
        <w:tc>
          <w:tcPr>
            <w:tcW w:w="993"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参考性</w:t>
            </w:r>
          </w:p>
        </w:tc>
        <w:tc>
          <w:tcPr>
            <w:tcW w:w="850" w:type="dxa"/>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达标</w:t>
            </w:r>
          </w:p>
        </w:tc>
        <w:tc>
          <w:tcPr>
            <w:tcW w:w="1904" w:type="dxa"/>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县水利局、</w:t>
            </w:r>
            <w:r>
              <w:rPr>
                <w:rFonts w:hint="default" w:ascii="Times New Roman" w:hAnsi="Times New Roman" w:eastAsia="仿宋" w:cs="Times New Roman"/>
                <w:kern w:val="0"/>
                <w:sz w:val="24"/>
                <w:szCs w:val="24"/>
                <w:lang w:eastAsia="zh-CN"/>
              </w:rPr>
              <w:t>县</w:t>
            </w:r>
            <w:r>
              <w:rPr>
                <w:rFonts w:hint="default" w:ascii="Times New Roman" w:hAnsi="Times New Roman" w:eastAsia="仿宋" w:cs="Times New Roman"/>
                <w:kern w:val="0"/>
                <w:sz w:val="24"/>
                <w:szCs w:val="24"/>
              </w:rPr>
              <w:t>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95" w:hRule="atLeast"/>
          <w:jc w:val="center"/>
        </w:trPr>
        <w:tc>
          <w:tcPr>
            <w:tcW w:w="0" w:type="auto"/>
            <w:vMerge w:val="restart"/>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生态经济</w:t>
            </w:r>
          </w:p>
        </w:tc>
        <w:tc>
          <w:tcPr>
            <w:tcW w:w="943" w:type="dxa"/>
            <w:vMerge w:val="restart"/>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（六）资源</w:t>
            </w:r>
          </w:p>
          <w:p>
            <w:pPr>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节约与利用</w:t>
            </w:r>
          </w:p>
        </w:tc>
        <w:tc>
          <w:tcPr>
            <w:tcW w:w="525"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17</w:t>
            </w:r>
          </w:p>
        </w:tc>
        <w:tc>
          <w:tcPr>
            <w:tcW w:w="1853"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单位地区生产总值能耗</w:t>
            </w:r>
          </w:p>
        </w:tc>
        <w:tc>
          <w:tcPr>
            <w:tcW w:w="4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吨标煤/万元</w:t>
            </w:r>
          </w:p>
        </w:tc>
        <w:tc>
          <w:tcPr>
            <w:tcW w:w="118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完成上级规定的目标任务；保持稳定或持续改善</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0.4076吨标煤/万元，完成上级规定目标任务</w:t>
            </w:r>
          </w:p>
        </w:tc>
        <w:tc>
          <w:tcPr>
            <w:tcW w:w="85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完成上级规定的目标任务</w:t>
            </w:r>
          </w:p>
        </w:tc>
        <w:tc>
          <w:tcPr>
            <w:tcW w:w="85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完成上级规定的目标任务</w:t>
            </w:r>
          </w:p>
        </w:tc>
        <w:tc>
          <w:tcPr>
            <w:tcW w:w="993"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约束性</w:t>
            </w:r>
          </w:p>
        </w:tc>
        <w:tc>
          <w:tcPr>
            <w:tcW w:w="850" w:type="dxa"/>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达标</w:t>
            </w:r>
          </w:p>
        </w:tc>
        <w:tc>
          <w:tcPr>
            <w:tcW w:w="1904" w:type="dxa"/>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县发</w:t>
            </w:r>
            <w:r>
              <w:rPr>
                <w:rFonts w:hint="default" w:ascii="Times New Roman" w:hAnsi="Times New Roman" w:eastAsia="仿宋" w:cs="Times New Roman"/>
                <w:kern w:val="0"/>
                <w:sz w:val="24"/>
                <w:szCs w:val="24"/>
                <w:lang w:eastAsia="zh-CN"/>
              </w:rPr>
              <w:t>展</w:t>
            </w:r>
            <w:r>
              <w:rPr>
                <w:rFonts w:hint="default" w:ascii="Times New Roman" w:hAnsi="Times New Roman" w:eastAsia="仿宋" w:cs="Times New Roman"/>
                <w:kern w:val="0"/>
                <w:sz w:val="24"/>
                <w:szCs w:val="24"/>
              </w:rPr>
              <w:t>改</w:t>
            </w:r>
            <w:r>
              <w:rPr>
                <w:rFonts w:hint="default" w:ascii="Times New Roman" w:hAnsi="Times New Roman" w:eastAsia="仿宋" w:cs="Times New Roman"/>
                <w:kern w:val="0"/>
                <w:sz w:val="24"/>
                <w:szCs w:val="24"/>
                <w:lang w:eastAsia="zh-CN"/>
              </w:rPr>
              <w:t>革</w:t>
            </w:r>
            <w:r>
              <w:rPr>
                <w:rFonts w:hint="default" w:ascii="Times New Roman" w:hAnsi="Times New Roman" w:eastAsia="仿宋" w:cs="Times New Roman"/>
                <w:kern w:val="0"/>
                <w:sz w:val="24"/>
                <w:szCs w:val="24"/>
              </w:rPr>
              <w:t>局、</w:t>
            </w:r>
            <w:r>
              <w:rPr>
                <w:rFonts w:hint="default" w:ascii="Times New Roman" w:hAnsi="Times New Roman" w:eastAsia="仿宋" w:cs="Times New Roman"/>
                <w:kern w:val="0"/>
                <w:sz w:val="24"/>
                <w:szCs w:val="24"/>
                <w:lang w:eastAsia="zh-CN"/>
              </w:rPr>
              <w:t>县</w:t>
            </w:r>
            <w:r>
              <w:rPr>
                <w:rFonts w:hint="default" w:ascii="Times New Roman" w:hAnsi="Times New Roman" w:eastAsia="仿宋" w:cs="Times New Roman"/>
                <w:kern w:val="0"/>
                <w:sz w:val="24"/>
                <w:szCs w:val="24"/>
              </w:rPr>
              <w:t>统计局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50" w:hRule="atLeast"/>
          <w:jc w:val="center"/>
        </w:trPr>
        <w:tc>
          <w:tcPr>
            <w:tcW w:w="0" w:type="auto"/>
            <w:vMerge w:val="continue"/>
            <w:shd w:val="clear" w:color="auto" w:fill="auto"/>
            <w:vAlign w:val="center"/>
          </w:tcPr>
          <w:p>
            <w:pPr>
              <w:spacing w:line="240" w:lineRule="auto"/>
              <w:ind w:firstLine="480"/>
              <w:jc w:val="center"/>
              <w:rPr>
                <w:rFonts w:hint="default" w:ascii="Times New Roman" w:hAnsi="Times New Roman" w:eastAsia="仿宋" w:cs="Times New Roman"/>
                <w:kern w:val="0"/>
                <w:sz w:val="24"/>
                <w:szCs w:val="24"/>
              </w:rPr>
            </w:pPr>
          </w:p>
        </w:tc>
        <w:tc>
          <w:tcPr>
            <w:tcW w:w="943" w:type="dxa"/>
            <w:vMerge w:val="continue"/>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p>
        </w:tc>
        <w:tc>
          <w:tcPr>
            <w:tcW w:w="525"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18</w:t>
            </w:r>
          </w:p>
        </w:tc>
        <w:tc>
          <w:tcPr>
            <w:tcW w:w="1853"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spacing w:val="-4"/>
                <w:kern w:val="0"/>
                <w:sz w:val="24"/>
                <w:szCs w:val="24"/>
              </w:rPr>
              <w:t>单位地区生产总值用水量</w:t>
            </w:r>
          </w:p>
        </w:tc>
        <w:tc>
          <w:tcPr>
            <w:tcW w:w="4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立方米/万元</w:t>
            </w:r>
          </w:p>
        </w:tc>
        <w:tc>
          <w:tcPr>
            <w:tcW w:w="118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完成上级规定的目标任务；保持稳定或持续改善</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159.13，万元地区生产总值用水量比2020年下降7.48，目标7.2</w:t>
            </w:r>
          </w:p>
        </w:tc>
        <w:tc>
          <w:tcPr>
            <w:tcW w:w="85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完成上级规定的目标任务</w:t>
            </w:r>
          </w:p>
        </w:tc>
        <w:tc>
          <w:tcPr>
            <w:tcW w:w="85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完成上级规定的目标任务</w:t>
            </w:r>
          </w:p>
        </w:tc>
        <w:tc>
          <w:tcPr>
            <w:tcW w:w="993" w:type="dxa"/>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约束性</w:t>
            </w:r>
          </w:p>
        </w:tc>
        <w:tc>
          <w:tcPr>
            <w:tcW w:w="850" w:type="dxa"/>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达标</w:t>
            </w:r>
          </w:p>
        </w:tc>
        <w:tc>
          <w:tcPr>
            <w:tcW w:w="1904" w:type="dxa"/>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县水利局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0" w:type="auto"/>
            <w:vMerge w:val="continue"/>
            <w:shd w:val="clear" w:color="auto" w:fill="auto"/>
            <w:vAlign w:val="center"/>
          </w:tcPr>
          <w:p>
            <w:pPr>
              <w:spacing w:line="240" w:lineRule="auto"/>
              <w:ind w:firstLine="480"/>
              <w:jc w:val="center"/>
              <w:rPr>
                <w:rFonts w:hint="default" w:ascii="Times New Roman" w:hAnsi="Times New Roman" w:eastAsia="仿宋" w:cs="Times New Roman"/>
                <w:kern w:val="0"/>
                <w:sz w:val="24"/>
                <w:szCs w:val="24"/>
              </w:rPr>
            </w:pPr>
          </w:p>
        </w:tc>
        <w:tc>
          <w:tcPr>
            <w:tcW w:w="943" w:type="dxa"/>
            <w:vMerge w:val="continue"/>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p>
        </w:tc>
        <w:tc>
          <w:tcPr>
            <w:tcW w:w="525"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19</w:t>
            </w:r>
          </w:p>
        </w:tc>
        <w:tc>
          <w:tcPr>
            <w:tcW w:w="1853"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仿宋" w:cs="Times New Roman"/>
                <w:spacing w:val="-4"/>
                <w:kern w:val="0"/>
                <w:sz w:val="24"/>
                <w:szCs w:val="24"/>
              </w:rPr>
            </w:pPr>
            <w:bookmarkStart w:id="35" w:name="_Hlk86086734"/>
            <w:r>
              <w:rPr>
                <w:rFonts w:hint="default" w:ascii="Times New Roman" w:hAnsi="Times New Roman" w:eastAsia="仿宋" w:cs="Times New Roman"/>
                <w:spacing w:val="-4"/>
                <w:kern w:val="0"/>
                <w:sz w:val="24"/>
                <w:szCs w:val="24"/>
              </w:rPr>
              <w:t>单位国内生产总值建设用地使用面积下降率</w:t>
            </w:r>
            <w:bookmarkEnd w:id="35"/>
          </w:p>
        </w:tc>
        <w:tc>
          <w:tcPr>
            <w:tcW w:w="46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≥4.5</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2021年30.68%</w:t>
            </w:r>
          </w:p>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2022年0.59%</w:t>
            </w:r>
          </w:p>
        </w:tc>
        <w:tc>
          <w:tcPr>
            <w:tcW w:w="85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≥4.5</w:t>
            </w:r>
          </w:p>
        </w:tc>
        <w:tc>
          <w:tcPr>
            <w:tcW w:w="85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≥4.5</w:t>
            </w:r>
          </w:p>
        </w:tc>
        <w:tc>
          <w:tcPr>
            <w:tcW w:w="993" w:type="dxa"/>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参考性</w:t>
            </w:r>
          </w:p>
        </w:tc>
        <w:tc>
          <w:tcPr>
            <w:tcW w:w="850" w:type="dxa"/>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未达标</w:t>
            </w:r>
          </w:p>
        </w:tc>
        <w:tc>
          <w:tcPr>
            <w:tcW w:w="1904" w:type="dxa"/>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县自然资源局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0" w:type="auto"/>
            <w:vMerge w:val="continue"/>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p>
        </w:tc>
        <w:tc>
          <w:tcPr>
            <w:tcW w:w="525" w:type="dxa"/>
            <w:vMerge w:val="restart"/>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20</w:t>
            </w:r>
          </w:p>
        </w:tc>
        <w:tc>
          <w:tcPr>
            <w:tcW w:w="716"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仿宋" w:cs="Times New Roman"/>
                <w:spacing w:val="-4"/>
                <w:kern w:val="0"/>
                <w:sz w:val="24"/>
                <w:szCs w:val="24"/>
              </w:rPr>
            </w:pPr>
            <w:r>
              <w:rPr>
                <w:rFonts w:hint="default" w:ascii="Times New Roman" w:hAnsi="Times New Roman" w:eastAsia="仿宋" w:cs="Times New Roman"/>
                <w:spacing w:val="-4"/>
                <w:kern w:val="0"/>
                <w:sz w:val="24"/>
                <w:szCs w:val="24"/>
              </w:rPr>
              <w:t>化肥农药减量化</w:t>
            </w:r>
          </w:p>
        </w:tc>
        <w:tc>
          <w:tcPr>
            <w:tcW w:w="113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default" w:ascii="Times New Roman" w:hAnsi="Times New Roman" w:eastAsia="仿宋" w:cs="Times New Roman"/>
                <w:spacing w:val="-4"/>
                <w:kern w:val="0"/>
                <w:sz w:val="24"/>
                <w:szCs w:val="24"/>
              </w:rPr>
            </w:pPr>
            <w:r>
              <w:rPr>
                <w:rFonts w:hint="default" w:ascii="Times New Roman" w:hAnsi="Times New Roman" w:eastAsia="仿宋" w:cs="Times New Roman"/>
                <w:spacing w:val="-4"/>
                <w:kern w:val="0"/>
                <w:sz w:val="24"/>
                <w:szCs w:val="24"/>
              </w:rPr>
              <w:t>主要农作物化肥亩均施用量</w:t>
            </w:r>
          </w:p>
        </w:tc>
        <w:tc>
          <w:tcPr>
            <w:tcW w:w="464"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千克/亩</w:t>
            </w:r>
          </w:p>
        </w:tc>
        <w:tc>
          <w:tcPr>
            <w:tcW w:w="1188"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减少</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71.085（较上一年减少4.957）</w:t>
            </w:r>
          </w:p>
        </w:tc>
        <w:tc>
          <w:tcPr>
            <w:tcW w:w="85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减少</w:t>
            </w:r>
          </w:p>
        </w:tc>
        <w:tc>
          <w:tcPr>
            <w:tcW w:w="85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减少</w:t>
            </w:r>
          </w:p>
        </w:tc>
        <w:tc>
          <w:tcPr>
            <w:tcW w:w="993" w:type="dxa"/>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参考性</w:t>
            </w:r>
          </w:p>
        </w:tc>
        <w:tc>
          <w:tcPr>
            <w:tcW w:w="850" w:type="dxa"/>
            <w:vMerge w:val="restart"/>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达标</w:t>
            </w:r>
          </w:p>
        </w:tc>
        <w:tc>
          <w:tcPr>
            <w:tcW w:w="1904" w:type="dxa"/>
            <w:vMerge w:val="restart"/>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3" w:hRule="atLeast"/>
          <w:jc w:val="center"/>
        </w:trPr>
        <w:tc>
          <w:tcPr>
            <w:tcW w:w="0" w:type="auto"/>
            <w:vMerge w:val="continue"/>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p>
        </w:tc>
        <w:tc>
          <w:tcPr>
            <w:tcW w:w="525"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716" w:type="dxa"/>
            <w:vMerge w:val="continue"/>
            <w:shd w:val="clear" w:color="auto" w:fill="auto"/>
            <w:vAlign w:val="center"/>
          </w:tcPr>
          <w:p>
            <w:pPr>
              <w:spacing w:line="240" w:lineRule="auto"/>
              <w:ind w:firstLine="0" w:firstLineChars="0"/>
              <w:jc w:val="left"/>
              <w:rPr>
                <w:rFonts w:hint="default" w:ascii="Times New Roman" w:hAnsi="Times New Roman" w:eastAsia="仿宋" w:cs="Times New Roman"/>
                <w:spacing w:val="-4"/>
                <w:kern w:val="0"/>
                <w:sz w:val="24"/>
                <w:szCs w:val="24"/>
              </w:rPr>
            </w:pPr>
          </w:p>
        </w:tc>
        <w:tc>
          <w:tcPr>
            <w:tcW w:w="1137" w:type="dxa"/>
            <w:shd w:val="clear" w:color="auto" w:fill="auto"/>
            <w:vAlign w:val="center"/>
          </w:tcPr>
          <w:p>
            <w:pPr>
              <w:spacing w:line="240" w:lineRule="auto"/>
              <w:ind w:firstLine="0" w:firstLineChars="0"/>
              <w:jc w:val="left"/>
              <w:rPr>
                <w:rFonts w:hint="default" w:ascii="Times New Roman" w:hAnsi="Times New Roman" w:eastAsia="仿宋" w:cs="Times New Roman"/>
                <w:spacing w:val="-4"/>
                <w:kern w:val="0"/>
                <w:sz w:val="24"/>
                <w:szCs w:val="24"/>
              </w:rPr>
            </w:pPr>
            <w:r>
              <w:rPr>
                <w:rFonts w:hint="default" w:ascii="Times New Roman" w:hAnsi="Times New Roman" w:eastAsia="仿宋" w:cs="Times New Roman"/>
                <w:spacing w:val="-4"/>
                <w:kern w:val="0"/>
                <w:sz w:val="24"/>
                <w:szCs w:val="24"/>
              </w:rPr>
              <w:t>主要农作物农药亩均使用量</w:t>
            </w:r>
          </w:p>
        </w:tc>
        <w:tc>
          <w:tcPr>
            <w:tcW w:w="464" w:type="dxa"/>
            <w:vMerge w:val="continue"/>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p>
        </w:tc>
        <w:tc>
          <w:tcPr>
            <w:tcW w:w="1188"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3269"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0.454（较上一年减少0.056）</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减少</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减少</w:t>
            </w:r>
          </w:p>
        </w:tc>
        <w:tc>
          <w:tcPr>
            <w:tcW w:w="993" w:type="dxa"/>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参考性</w:t>
            </w:r>
          </w:p>
        </w:tc>
        <w:tc>
          <w:tcPr>
            <w:tcW w:w="850" w:type="dxa"/>
            <w:vMerge w:val="continue"/>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p>
        </w:tc>
        <w:tc>
          <w:tcPr>
            <w:tcW w:w="1904" w:type="dxa"/>
            <w:vMerge w:val="continue"/>
            <w:vAlign w:val="center"/>
          </w:tcPr>
          <w:p>
            <w:pPr>
              <w:snapToGrid w:val="0"/>
              <w:spacing w:line="240" w:lineRule="auto"/>
              <w:ind w:firstLine="0" w:firstLineChars="0"/>
              <w:rPr>
                <w:rFonts w:hint="default" w:ascii="Times New Roman" w:hAnsi="Times New Roman" w:eastAsia="仿宋"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jc w:val="center"/>
        </w:trPr>
        <w:tc>
          <w:tcPr>
            <w:tcW w:w="0" w:type="auto"/>
            <w:vMerge w:val="restart"/>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生态经济</w:t>
            </w:r>
          </w:p>
        </w:tc>
        <w:tc>
          <w:tcPr>
            <w:tcW w:w="943" w:type="dxa"/>
            <w:vMerge w:val="restart"/>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（七）产业循环发展</w:t>
            </w:r>
          </w:p>
        </w:tc>
        <w:tc>
          <w:tcPr>
            <w:tcW w:w="525" w:type="dxa"/>
            <w:vMerge w:val="restart"/>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21</w:t>
            </w:r>
          </w:p>
        </w:tc>
        <w:tc>
          <w:tcPr>
            <w:tcW w:w="716" w:type="dxa"/>
            <w:vMerge w:val="restart"/>
            <w:shd w:val="clear" w:color="auto" w:fill="auto"/>
            <w:tcMar>
              <w:left w:w="0" w:type="dxa"/>
              <w:right w:w="0" w:type="dxa"/>
            </w:tcMar>
            <w:vAlign w:val="center"/>
          </w:tcPr>
          <w:p>
            <w:pPr>
              <w:adjustRightIn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农业废弃物综合利用率</w:t>
            </w:r>
          </w:p>
        </w:tc>
        <w:tc>
          <w:tcPr>
            <w:tcW w:w="1137" w:type="dxa"/>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秸秆综合利用率</w:t>
            </w:r>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≥90</w:t>
            </w:r>
          </w:p>
        </w:tc>
        <w:tc>
          <w:tcPr>
            <w:tcW w:w="3269"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86.44</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≥90</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≥90</w:t>
            </w:r>
          </w:p>
        </w:tc>
        <w:tc>
          <w:tcPr>
            <w:tcW w:w="993"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参考性</w:t>
            </w:r>
          </w:p>
        </w:tc>
        <w:tc>
          <w:tcPr>
            <w:tcW w:w="850" w:type="dxa"/>
            <w:vMerge w:val="restart"/>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未达标</w:t>
            </w:r>
          </w:p>
        </w:tc>
        <w:tc>
          <w:tcPr>
            <w:tcW w:w="1904" w:type="dxa"/>
            <w:vMerge w:val="restart"/>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3" w:hRule="atLeast"/>
          <w:jc w:val="center"/>
        </w:trPr>
        <w:tc>
          <w:tcPr>
            <w:tcW w:w="0" w:type="auto"/>
            <w:vMerge w:val="continue"/>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p>
        </w:tc>
        <w:tc>
          <w:tcPr>
            <w:tcW w:w="525" w:type="dxa"/>
            <w:vMerge w:val="continue"/>
            <w:shd w:val="clear" w:color="auto" w:fill="auto"/>
            <w:vAlign w:val="center"/>
          </w:tcPr>
          <w:p>
            <w:pPr>
              <w:spacing w:line="240" w:lineRule="auto"/>
              <w:ind w:firstLine="0" w:firstLineChars="0"/>
              <w:jc w:val="center"/>
              <w:rPr>
                <w:rFonts w:hint="default" w:ascii="Times New Roman" w:hAnsi="Times New Roman" w:eastAsia="仿宋" w:cs="Times New Roman"/>
                <w:kern w:val="0"/>
                <w:sz w:val="24"/>
                <w:szCs w:val="24"/>
              </w:rPr>
            </w:pPr>
          </w:p>
        </w:tc>
        <w:tc>
          <w:tcPr>
            <w:tcW w:w="716" w:type="dxa"/>
            <w:vMerge w:val="continue"/>
            <w:shd w:val="clear" w:color="auto" w:fill="auto"/>
            <w:tcMar>
              <w:left w:w="0" w:type="dxa"/>
              <w:right w:w="0" w:type="dxa"/>
            </w:tcMar>
            <w:vAlign w:val="center"/>
          </w:tcPr>
          <w:p>
            <w:pPr>
              <w:adjustRightInd w:val="0"/>
              <w:spacing w:line="240" w:lineRule="auto"/>
              <w:ind w:firstLine="0" w:firstLineChars="0"/>
              <w:jc w:val="center"/>
              <w:rPr>
                <w:rFonts w:hint="default" w:ascii="Times New Roman" w:hAnsi="Times New Roman" w:eastAsia="仿宋" w:cs="Times New Roman"/>
                <w:kern w:val="0"/>
                <w:sz w:val="24"/>
                <w:szCs w:val="24"/>
              </w:rPr>
            </w:pPr>
          </w:p>
        </w:tc>
        <w:tc>
          <w:tcPr>
            <w:tcW w:w="1137" w:type="dxa"/>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畜禽养殖场粪便综合利用率</w:t>
            </w:r>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≥75</w:t>
            </w:r>
          </w:p>
        </w:tc>
        <w:tc>
          <w:tcPr>
            <w:tcW w:w="3269"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92.14（2021年）</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≥93</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≥95</w:t>
            </w:r>
          </w:p>
        </w:tc>
        <w:tc>
          <w:tcPr>
            <w:tcW w:w="993"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参考性</w:t>
            </w:r>
          </w:p>
        </w:tc>
        <w:tc>
          <w:tcPr>
            <w:tcW w:w="850" w:type="dxa"/>
            <w:vMerge w:val="continue"/>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p>
        </w:tc>
        <w:tc>
          <w:tcPr>
            <w:tcW w:w="1904" w:type="dxa"/>
            <w:vMerge w:val="continue"/>
            <w:vAlign w:val="center"/>
          </w:tcPr>
          <w:p>
            <w:pPr>
              <w:snapToGrid w:val="0"/>
              <w:spacing w:line="240" w:lineRule="auto"/>
              <w:ind w:firstLine="0" w:firstLineChars="0"/>
              <w:rPr>
                <w:rFonts w:hint="default" w:ascii="Times New Roman" w:hAnsi="Times New Roman" w:eastAsia="仿宋"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6" w:hRule="atLeast"/>
          <w:jc w:val="center"/>
        </w:trPr>
        <w:tc>
          <w:tcPr>
            <w:tcW w:w="0" w:type="auto"/>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525"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716" w:type="dxa"/>
            <w:vMerge w:val="continue"/>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p>
        </w:tc>
        <w:tc>
          <w:tcPr>
            <w:tcW w:w="1137" w:type="dxa"/>
            <w:shd w:val="clear" w:color="auto" w:fill="auto"/>
            <w:tcMar>
              <w:left w:w="28" w:type="dxa"/>
              <w:right w:w="28" w:type="dxa"/>
            </w:tcMar>
            <w:vAlign w:val="center"/>
          </w:tcPr>
          <w:p>
            <w:pPr>
              <w:widowControl/>
              <w:spacing w:line="240" w:lineRule="auto"/>
              <w:ind w:firstLine="0" w:firstLineChars="0"/>
              <w:jc w:val="left"/>
              <w:rPr>
                <w:rFonts w:hint="default" w:ascii="Times New Roman" w:hAnsi="Times New Roman" w:eastAsia="仿宋" w:cs="Times New Roman"/>
                <w:kern w:val="0"/>
                <w:sz w:val="24"/>
                <w:szCs w:val="24"/>
              </w:rPr>
            </w:pPr>
            <w:bookmarkStart w:id="36" w:name="_Hlk86086868"/>
            <w:r>
              <w:rPr>
                <w:rFonts w:hint="default" w:ascii="Times New Roman" w:hAnsi="Times New Roman" w:eastAsia="仿宋" w:cs="Times New Roman"/>
                <w:kern w:val="0"/>
                <w:sz w:val="24"/>
                <w:szCs w:val="24"/>
              </w:rPr>
              <w:t>农膜回收利用率</w:t>
            </w:r>
            <w:bookmarkEnd w:id="36"/>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≥80</w:t>
            </w:r>
          </w:p>
        </w:tc>
        <w:tc>
          <w:tcPr>
            <w:tcW w:w="3269"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91.24</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≥92</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≥93</w:t>
            </w:r>
          </w:p>
        </w:tc>
        <w:tc>
          <w:tcPr>
            <w:tcW w:w="993"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参考性</w:t>
            </w:r>
          </w:p>
        </w:tc>
        <w:tc>
          <w:tcPr>
            <w:tcW w:w="850" w:type="dxa"/>
            <w:vMerge w:val="continue"/>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p>
        </w:tc>
        <w:tc>
          <w:tcPr>
            <w:tcW w:w="1904" w:type="dxa"/>
            <w:vMerge w:val="continue"/>
            <w:vAlign w:val="center"/>
          </w:tcPr>
          <w:p>
            <w:pPr>
              <w:snapToGrid w:val="0"/>
              <w:spacing w:line="240" w:lineRule="auto"/>
              <w:ind w:firstLine="0" w:firstLineChars="0"/>
              <w:rPr>
                <w:rFonts w:hint="default" w:ascii="Times New Roman" w:hAnsi="Times New Roman" w:eastAsia="仿宋"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7" w:hRule="atLeast"/>
          <w:jc w:val="center"/>
        </w:trPr>
        <w:tc>
          <w:tcPr>
            <w:tcW w:w="0" w:type="auto"/>
            <w:vMerge w:val="continue"/>
            <w:tcBorders>
              <w:bottom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525"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22</w:t>
            </w:r>
          </w:p>
        </w:tc>
        <w:tc>
          <w:tcPr>
            <w:tcW w:w="1853" w:type="dxa"/>
            <w:gridSpan w:val="2"/>
            <w:shd w:val="clear" w:color="auto" w:fill="auto"/>
            <w:vAlign w:val="center"/>
          </w:tcPr>
          <w:p>
            <w:pPr>
              <w:widowControl/>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一般工业固体废物综合利用率提高幅度</w:t>
            </w:r>
          </w:p>
          <w:p>
            <w:pPr>
              <w:widowControl/>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综合利用率＞60%</w:t>
            </w:r>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保持稳定或持续改善</w:t>
            </w:r>
          </w:p>
        </w:tc>
        <w:tc>
          <w:tcPr>
            <w:tcW w:w="3269"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未统计</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持续改善</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持续改善</w:t>
            </w:r>
          </w:p>
        </w:tc>
        <w:tc>
          <w:tcPr>
            <w:tcW w:w="993"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参考性</w:t>
            </w:r>
          </w:p>
        </w:tc>
        <w:tc>
          <w:tcPr>
            <w:tcW w:w="850" w:type="dxa"/>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未统计</w:t>
            </w:r>
          </w:p>
        </w:tc>
        <w:tc>
          <w:tcPr>
            <w:tcW w:w="1904" w:type="dxa"/>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lang w:eastAsia="zh-CN"/>
              </w:rPr>
              <w:t>兴安</w:t>
            </w:r>
            <w:r>
              <w:rPr>
                <w:rFonts w:hint="default" w:ascii="Times New Roman" w:hAnsi="Times New Roman" w:eastAsia="仿宋" w:cs="Times New Roman"/>
                <w:kern w:val="0"/>
                <w:sz w:val="24"/>
                <w:szCs w:val="24"/>
              </w:rPr>
              <w:t>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0" w:type="auto"/>
            <w:vMerge w:val="restart"/>
            <w:tcBorders>
              <w:top w:val="single" w:color="auto" w:sz="4" w:space="0"/>
              <w:left w:val="single" w:color="auto" w:sz="4" w:space="0"/>
              <w:bottom w:val="nil"/>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p>
            <w:pPr>
              <w:widowControl/>
              <w:spacing w:line="240" w:lineRule="auto"/>
              <w:ind w:firstLine="0" w:firstLineChars="0"/>
              <w:jc w:val="center"/>
              <w:rPr>
                <w:rFonts w:hint="default" w:ascii="Times New Roman" w:hAnsi="Times New Roman" w:eastAsia="仿宋" w:cs="Times New Roman"/>
                <w:kern w:val="0"/>
                <w:sz w:val="24"/>
                <w:szCs w:val="24"/>
              </w:rPr>
            </w:pPr>
          </w:p>
          <w:p>
            <w:pPr>
              <w:widowControl/>
              <w:spacing w:line="240" w:lineRule="auto"/>
              <w:ind w:firstLine="0" w:firstLineChars="0"/>
              <w:jc w:val="center"/>
              <w:rPr>
                <w:rFonts w:hint="default" w:ascii="Times New Roman" w:hAnsi="Times New Roman" w:eastAsia="仿宋" w:cs="Times New Roman"/>
                <w:kern w:val="0"/>
                <w:sz w:val="24"/>
                <w:szCs w:val="24"/>
              </w:rPr>
            </w:pPr>
          </w:p>
          <w:p>
            <w:pPr>
              <w:widowControl/>
              <w:spacing w:line="240" w:lineRule="auto"/>
              <w:ind w:firstLine="0" w:firstLineChars="0"/>
              <w:jc w:val="center"/>
              <w:rPr>
                <w:rFonts w:hint="default" w:ascii="Times New Roman" w:hAnsi="Times New Roman" w:eastAsia="仿宋" w:cs="Times New Roman"/>
                <w:kern w:val="0"/>
                <w:sz w:val="24"/>
                <w:szCs w:val="24"/>
              </w:rPr>
            </w:pPr>
          </w:p>
          <w:p>
            <w:pPr>
              <w:widowControl/>
              <w:spacing w:line="240" w:lineRule="auto"/>
              <w:ind w:firstLine="0" w:firstLineChars="0"/>
              <w:jc w:val="center"/>
              <w:rPr>
                <w:rFonts w:hint="default" w:ascii="Times New Roman" w:hAnsi="Times New Roman" w:eastAsia="仿宋" w:cs="Times New Roman"/>
                <w:kern w:val="0"/>
                <w:sz w:val="24"/>
                <w:szCs w:val="24"/>
              </w:rPr>
            </w:pPr>
          </w:p>
          <w:p>
            <w:pPr>
              <w:widowControl/>
              <w:spacing w:line="240" w:lineRule="auto"/>
              <w:ind w:firstLine="0" w:firstLineChars="0"/>
              <w:jc w:val="center"/>
              <w:rPr>
                <w:rFonts w:hint="default" w:ascii="Times New Roman" w:hAnsi="Times New Roman" w:eastAsia="仿宋" w:cs="Times New Roman"/>
                <w:kern w:val="0"/>
                <w:sz w:val="24"/>
                <w:szCs w:val="24"/>
              </w:rPr>
            </w:pPr>
          </w:p>
          <w:p>
            <w:pPr>
              <w:widowControl/>
              <w:spacing w:line="240" w:lineRule="auto"/>
              <w:ind w:firstLine="0" w:firstLineChars="0"/>
              <w:jc w:val="center"/>
              <w:rPr>
                <w:rFonts w:hint="default" w:ascii="Times New Roman" w:hAnsi="Times New Roman" w:eastAsia="仿宋" w:cs="Times New Roman"/>
                <w:kern w:val="0"/>
                <w:sz w:val="24"/>
                <w:szCs w:val="24"/>
              </w:rPr>
            </w:pPr>
          </w:p>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生态生活</w:t>
            </w:r>
          </w:p>
        </w:tc>
        <w:tc>
          <w:tcPr>
            <w:tcW w:w="943" w:type="dxa"/>
            <w:vMerge w:val="restart"/>
            <w:tcBorders>
              <w:lef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（八）人居环境改善</w:t>
            </w:r>
          </w:p>
        </w:tc>
        <w:tc>
          <w:tcPr>
            <w:tcW w:w="525"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23</w:t>
            </w:r>
          </w:p>
        </w:tc>
        <w:tc>
          <w:tcPr>
            <w:tcW w:w="1853" w:type="dxa"/>
            <w:gridSpan w:val="2"/>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集中式饮用水水源地水质优良比例</w:t>
            </w:r>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100</w:t>
            </w:r>
          </w:p>
        </w:tc>
        <w:tc>
          <w:tcPr>
            <w:tcW w:w="3269"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100</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100</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100</w:t>
            </w:r>
          </w:p>
        </w:tc>
        <w:tc>
          <w:tcPr>
            <w:tcW w:w="993"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约束性</w:t>
            </w:r>
          </w:p>
        </w:tc>
        <w:tc>
          <w:tcPr>
            <w:tcW w:w="850" w:type="dxa"/>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达标</w:t>
            </w:r>
          </w:p>
        </w:tc>
        <w:tc>
          <w:tcPr>
            <w:tcW w:w="1904" w:type="dxa"/>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lang w:eastAsia="zh-CN"/>
              </w:rPr>
              <w:t>兴安</w:t>
            </w:r>
            <w:r>
              <w:rPr>
                <w:rFonts w:hint="default" w:ascii="Times New Roman" w:hAnsi="Times New Roman" w:eastAsia="仿宋" w:cs="Times New Roman"/>
                <w:kern w:val="0"/>
                <w:sz w:val="24"/>
                <w:szCs w:val="24"/>
              </w:rPr>
              <w:t>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0" w:type="auto"/>
            <w:vMerge w:val="continue"/>
            <w:tcBorders>
              <w:top w:val="nil"/>
              <w:left w:val="single" w:color="auto" w:sz="4" w:space="0"/>
              <w:bottom w:val="nil"/>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tcBorders>
              <w:lef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525"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24</w:t>
            </w:r>
          </w:p>
        </w:tc>
        <w:tc>
          <w:tcPr>
            <w:tcW w:w="1853" w:type="dxa"/>
            <w:gridSpan w:val="2"/>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村镇饮用水卫生合格率</w:t>
            </w:r>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100</w:t>
            </w:r>
          </w:p>
        </w:tc>
        <w:tc>
          <w:tcPr>
            <w:tcW w:w="3269"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98.65</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100</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100</w:t>
            </w:r>
          </w:p>
        </w:tc>
        <w:tc>
          <w:tcPr>
            <w:tcW w:w="993"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约束性</w:t>
            </w:r>
          </w:p>
        </w:tc>
        <w:tc>
          <w:tcPr>
            <w:tcW w:w="850" w:type="dxa"/>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未达标</w:t>
            </w:r>
          </w:p>
        </w:tc>
        <w:tc>
          <w:tcPr>
            <w:tcW w:w="1904" w:type="dxa"/>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县卫生健康</w:t>
            </w:r>
          </w:p>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局、</w:t>
            </w:r>
            <w:r>
              <w:rPr>
                <w:rFonts w:hint="default" w:ascii="Times New Roman" w:hAnsi="Times New Roman" w:eastAsia="仿宋" w:cs="Times New Roman"/>
                <w:kern w:val="0"/>
                <w:sz w:val="24"/>
                <w:szCs w:val="24"/>
                <w:lang w:eastAsia="zh-CN"/>
              </w:rPr>
              <w:t>县</w:t>
            </w:r>
            <w:r>
              <w:rPr>
                <w:rFonts w:hint="default" w:ascii="Times New Roman" w:hAnsi="Times New Roman" w:eastAsia="仿宋" w:cs="Times New Roman"/>
                <w:kern w:val="0"/>
                <w:sz w:val="24"/>
                <w:szCs w:val="24"/>
              </w:rPr>
              <w:t>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0" w:type="auto"/>
            <w:vMerge w:val="continue"/>
            <w:tcBorders>
              <w:top w:val="nil"/>
              <w:left w:val="single" w:color="auto" w:sz="4" w:space="0"/>
              <w:bottom w:val="nil"/>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tcBorders>
              <w:lef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525"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25</w:t>
            </w:r>
          </w:p>
        </w:tc>
        <w:tc>
          <w:tcPr>
            <w:tcW w:w="1853" w:type="dxa"/>
            <w:gridSpan w:val="2"/>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城镇污水处理率</w:t>
            </w:r>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≥85</w:t>
            </w:r>
          </w:p>
        </w:tc>
        <w:tc>
          <w:tcPr>
            <w:tcW w:w="3269"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99.38</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≥99.5</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≥99.5</w:t>
            </w:r>
          </w:p>
        </w:tc>
        <w:tc>
          <w:tcPr>
            <w:tcW w:w="993"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约束性</w:t>
            </w:r>
          </w:p>
        </w:tc>
        <w:tc>
          <w:tcPr>
            <w:tcW w:w="850" w:type="dxa"/>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达标</w:t>
            </w:r>
          </w:p>
        </w:tc>
        <w:tc>
          <w:tcPr>
            <w:tcW w:w="1904" w:type="dxa"/>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县住</w:t>
            </w:r>
            <w:r>
              <w:rPr>
                <w:rFonts w:hint="default" w:ascii="Times New Roman" w:hAnsi="Times New Roman" w:eastAsia="仿宋" w:cs="Times New Roman"/>
                <w:kern w:val="0"/>
                <w:sz w:val="24"/>
                <w:szCs w:val="24"/>
                <w:lang w:eastAsia="zh-CN"/>
              </w:rPr>
              <w:t>房城乡</w:t>
            </w:r>
            <w:r>
              <w:rPr>
                <w:rFonts w:hint="default" w:ascii="Times New Roman" w:hAnsi="Times New Roman" w:eastAsia="仿宋" w:cs="Times New Roman"/>
                <w:kern w:val="0"/>
                <w:sz w:val="24"/>
                <w:szCs w:val="24"/>
              </w:rPr>
              <w:t>建</w:t>
            </w:r>
            <w:r>
              <w:rPr>
                <w:rFonts w:hint="default" w:ascii="Times New Roman" w:hAnsi="Times New Roman" w:eastAsia="仿宋" w:cs="Times New Roman"/>
                <w:kern w:val="0"/>
                <w:sz w:val="24"/>
                <w:szCs w:val="24"/>
                <w:lang w:eastAsia="zh-CN"/>
              </w:rPr>
              <w:t>设</w:t>
            </w:r>
            <w:r>
              <w:rPr>
                <w:rFonts w:hint="default" w:ascii="Times New Roman" w:hAnsi="Times New Roman" w:eastAsia="仿宋" w:cs="Times New Roman"/>
                <w:kern w:val="0"/>
                <w:sz w:val="24"/>
                <w:szCs w:val="24"/>
              </w:rPr>
              <w:t>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jc w:val="center"/>
        </w:trPr>
        <w:tc>
          <w:tcPr>
            <w:tcW w:w="0" w:type="auto"/>
            <w:vMerge w:val="continue"/>
            <w:tcBorders>
              <w:top w:val="nil"/>
              <w:left w:val="single" w:color="auto" w:sz="4" w:space="0"/>
              <w:bottom w:val="nil"/>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tcBorders>
              <w:lef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525"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26</w:t>
            </w:r>
          </w:p>
        </w:tc>
        <w:tc>
          <w:tcPr>
            <w:tcW w:w="1853" w:type="dxa"/>
            <w:gridSpan w:val="2"/>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bookmarkStart w:id="37" w:name="_Hlk97888540"/>
            <w:r>
              <w:rPr>
                <w:rFonts w:hint="default" w:ascii="Times New Roman" w:hAnsi="Times New Roman" w:eastAsia="仿宋" w:cs="Times New Roman"/>
                <w:kern w:val="0"/>
                <w:sz w:val="24"/>
                <w:szCs w:val="24"/>
              </w:rPr>
              <w:t>农村生活污水治理率</w:t>
            </w:r>
            <w:bookmarkEnd w:id="37"/>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≥50</w:t>
            </w:r>
          </w:p>
        </w:tc>
        <w:tc>
          <w:tcPr>
            <w:tcW w:w="3269"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11.21</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≥50</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≥50</w:t>
            </w:r>
          </w:p>
        </w:tc>
        <w:tc>
          <w:tcPr>
            <w:tcW w:w="993"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参考性</w:t>
            </w:r>
          </w:p>
        </w:tc>
        <w:tc>
          <w:tcPr>
            <w:tcW w:w="850" w:type="dxa"/>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未达标</w:t>
            </w:r>
          </w:p>
        </w:tc>
        <w:tc>
          <w:tcPr>
            <w:tcW w:w="1904" w:type="dxa"/>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县住</w:t>
            </w:r>
            <w:r>
              <w:rPr>
                <w:rFonts w:hint="default" w:ascii="Times New Roman" w:hAnsi="Times New Roman" w:eastAsia="仿宋" w:cs="Times New Roman"/>
                <w:kern w:val="0"/>
                <w:sz w:val="24"/>
                <w:szCs w:val="24"/>
                <w:lang w:eastAsia="zh-CN"/>
              </w:rPr>
              <w:t>房城乡</w:t>
            </w:r>
            <w:r>
              <w:rPr>
                <w:rFonts w:hint="default" w:ascii="Times New Roman" w:hAnsi="Times New Roman" w:eastAsia="仿宋" w:cs="Times New Roman"/>
                <w:kern w:val="0"/>
                <w:sz w:val="24"/>
                <w:szCs w:val="24"/>
              </w:rPr>
              <w:t>建</w:t>
            </w:r>
            <w:r>
              <w:rPr>
                <w:rFonts w:hint="default" w:ascii="Times New Roman" w:hAnsi="Times New Roman" w:eastAsia="仿宋" w:cs="Times New Roman"/>
                <w:kern w:val="0"/>
                <w:sz w:val="24"/>
                <w:szCs w:val="24"/>
                <w:lang w:eastAsia="zh-CN"/>
              </w:rPr>
              <w:t>设</w:t>
            </w:r>
            <w:r>
              <w:rPr>
                <w:rFonts w:hint="default" w:ascii="Times New Roman" w:hAnsi="Times New Roman" w:eastAsia="仿宋" w:cs="Times New Roman"/>
                <w:kern w:val="0"/>
                <w:sz w:val="24"/>
                <w:szCs w:val="24"/>
              </w:rPr>
              <w:t>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6" w:hRule="atLeast"/>
          <w:jc w:val="center"/>
        </w:trPr>
        <w:tc>
          <w:tcPr>
            <w:tcW w:w="0" w:type="auto"/>
            <w:vMerge w:val="continue"/>
            <w:tcBorders>
              <w:top w:val="nil"/>
              <w:left w:val="single" w:color="auto" w:sz="4" w:space="0"/>
              <w:bottom w:val="nil"/>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tcBorders>
              <w:lef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525"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27</w:t>
            </w:r>
          </w:p>
        </w:tc>
        <w:tc>
          <w:tcPr>
            <w:tcW w:w="1853" w:type="dxa"/>
            <w:gridSpan w:val="2"/>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城镇生活垃圾无害化处理率</w:t>
            </w:r>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≥80</w:t>
            </w:r>
          </w:p>
        </w:tc>
        <w:tc>
          <w:tcPr>
            <w:tcW w:w="3269"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100</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100</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100</w:t>
            </w:r>
          </w:p>
        </w:tc>
        <w:tc>
          <w:tcPr>
            <w:tcW w:w="993"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约束性</w:t>
            </w:r>
          </w:p>
        </w:tc>
        <w:tc>
          <w:tcPr>
            <w:tcW w:w="850" w:type="dxa"/>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达标</w:t>
            </w:r>
          </w:p>
        </w:tc>
        <w:tc>
          <w:tcPr>
            <w:tcW w:w="1904" w:type="dxa"/>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县住</w:t>
            </w:r>
            <w:r>
              <w:rPr>
                <w:rFonts w:hint="default" w:ascii="Times New Roman" w:hAnsi="Times New Roman" w:eastAsia="仿宋" w:cs="Times New Roman"/>
                <w:kern w:val="0"/>
                <w:sz w:val="24"/>
                <w:szCs w:val="24"/>
                <w:lang w:eastAsia="zh-CN"/>
              </w:rPr>
              <w:t>房城乡</w:t>
            </w:r>
            <w:r>
              <w:rPr>
                <w:rFonts w:hint="default" w:ascii="Times New Roman" w:hAnsi="Times New Roman" w:eastAsia="仿宋" w:cs="Times New Roman"/>
                <w:kern w:val="0"/>
                <w:sz w:val="24"/>
                <w:szCs w:val="24"/>
              </w:rPr>
              <w:t>建</w:t>
            </w:r>
            <w:r>
              <w:rPr>
                <w:rFonts w:hint="default" w:ascii="Times New Roman" w:hAnsi="Times New Roman" w:eastAsia="仿宋" w:cs="Times New Roman"/>
                <w:kern w:val="0"/>
                <w:sz w:val="24"/>
                <w:szCs w:val="24"/>
                <w:lang w:eastAsia="zh-CN"/>
              </w:rPr>
              <w:t>设</w:t>
            </w:r>
            <w:r>
              <w:rPr>
                <w:rFonts w:hint="default" w:ascii="Times New Roman" w:hAnsi="Times New Roman" w:eastAsia="仿宋" w:cs="Times New Roman"/>
                <w:kern w:val="0"/>
                <w:sz w:val="24"/>
                <w:szCs w:val="24"/>
              </w:rPr>
              <w:t>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6" w:hRule="atLeast"/>
          <w:jc w:val="center"/>
        </w:trPr>
        <w:tc>
          <w:tcPr>
            <w:tcW w:w="0" w:type="auto"/>
            <w:tcBorders>
              <w:top w:val="nil"/>
              <w:left w:val="single" w:color="auto" w:sz="4" w:space="0"/>
              <w:bottom w:val="nil"/>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tcBorders>
              <w:lef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525"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28</w:t>
            </w:r>
          </w:p>
        </w:tc>
        <w:tc>
          <w:tcPr>
            <w:tcW w:w="1853" w:type="dxa"/>
            <w:gridSpan w:val="2"/>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bookmarkStart w:id="38" w:name="_Hlk97917090"/>
            <w:r>
              <w:rPr>
                <w:rFonts w:hint="default" w:ascii="Times New Roman" w:hAnsi="Times New Roman" w:eastAsia="仿宋" w:cs="Times New Roman"/>
                <w:kern w:val="0"/>
                <w:sz w:val="24"/>
                <w:szCs w:val="24"/>
              </w:rPr>
              <w:t>农村生活垃圾无害化处理村占比</w:t>
            </w:r>
            <w:bookmarkEnd w:id="38"/>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≥80</w:t>
            </w:r>
          </w:p>
        </w:tc>
        <w:tc>
          <w:tcPr>
            <w:tcW w:w="3269"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89</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≥89</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≥89</w:t>
            </w:r>
          </w:p>
        </w:tc>
        <w:tc>
          <w:tcPr>
            <w:tcW w:w="993"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参考性</w:t>
            </w:r>
          </w:p>
        </w:tc>
        <w:tc>
          <w:tcPr>
            <w:tcW w:w="850" w:type="dxa"/>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达标</w:t>
            </w:r>
          </w:p>
        </w:tc>
        <w:tc>
          <w:tcPr>
            <w:tcW w:w="1904" w:type="dxa"/>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县住</w:t>
            </w:r>
            <w:r>
              <w:rPr>
                <w:rFonts w:hint="default" w:ascii="Times New Roman" w:hAnsi="Times New Roman" w:eastAsia="仿宋" w:cs="Times New Roman"/>
                <w:kern w:val="0"/>
                <w:sz w:val="24"/>
                <w:szCs w:val="24"/>
                <w:lang w:eastAsia="zh-CN"/>
              </w:rPr>
              <w:t>房城乡</w:t>
            </w:r>
            <w:r>
              <w:rPr>
                <w:rFonts w:hint="default" w:ascii="Times New Roman" w:hAnsi="Times New Roman" w:eastAsia="仿宋" w:cs="Times New Roman"/>
                <w:kern w:val="0"/>
                <w:sz w:val="24"/>
                <w:szCs w:val="24"/>
              </w:rPr>
              <w:t>建</w:t>
            </w:r>
            <w:r>
              <w:rPr>
                <w:rFonts w:hint="default" w:ascii="Times New Roman" w:hAnsi="Times New Roman" w:eastAsia="仿宋" w:cs="Times New Roman"/>
                <w:kern w:val="0"/>
                <w:sz w:val="24"/>
                <w:szCs w:val="24"/>
                <w:lang w:eastAsia="zh-CN"/>
              </w:rPr>
              <w:t>设</w:t>
            </w:r>
            <w:r>
              <w:rPr>
                <w:rFonts w:hint="default" w:ascii="Times New Roman" w:hAnsi="Times New Roman" w:eastAsia="仿宋" w:cs="Times New Roman"/>
                <w:kern w:val="0"/>
                <w:sz w:val="24"/>
                <w:szCs w:val="24"/>
              </w:rPr>
              <w:t>局、</w:t>
            </w:r>
            <w:r>
              <w:rPr>
                <w:rFonts w:hint="default" w:ascii="Times New Roman" w:hAnsi="Times New Roman" w:eastAsia="仿宋" w:cs="Times New Roman"/>
                <w:kern w:val="0"/>
                <w:sz w:val="24"/>
                <w:szCs w:val="24"/>
                <w:lang w:eastAsia="zh-CN"/>
              </w:rPr>
              <w:t>县</w:t>
            </w:r>
            <w:r>
              <w:rPr>
                <w:rFonts w:hint="default" w:ascii="Times New Roman" w:hAnsi="Times New Roman" w:eastAsia="仿宋" w:cs="Times New Roman"/>
                <w:kern w:val="0"/>
                <w:sz w:val="24"/>
                <w:szCs w:val="24"/>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tcBorders>
              <w:lef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525"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29</w:t>
            </w:r>
          </w:p>
        </w:tc>
        <w:tc>
          <w:tcPr>
            <w:tcW w:w="1853" w:type="dxa"/>
            <w:gridSpan w:val="2"/>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农村无害化卫生厕所普及率</w:t>
            </w:r>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完成上级规定的目标任务</w:t>
            </w:r>
          </w:p>
        </w:tc>
        <w:tc>
          <w:tcPr>
            <w:tcW w:w="3269"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92.86</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≥93</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≥95</w:t>
            </w:r>
          </w:p>
        </w:tc>
        <w:tc>
          <w:tcPr>
            <w:tcW w:w="993"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约束性</w:t>
            </w:r>
          </w:p>
        </w:tc>
        <w:tc>
          <w:tcPr>
            <w:tcW w:w="850" w:type="dxa"/>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达标</w:t>
            </w:r>
          </w:p>
        </w:tc>
        <w:tc>
          <w:tcPr>
            <w:tcW w:w="1904" w:type="dxa"/>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县农业农村局、</w:t>
            </w:r>
            <w:r>
              <w:rPr>
                <w:rFonts w:hint="default" w:ascii="Times New Roman" w:hAnsi="Times New Roman" w:eastAsia="仿宋" w:cs="Times New Roman"/>
                <w:kern w:val="0"/>
                <w:sz w:val="24"/>
                <w:szCs w:val="24"/>
                <w:lang w:eastAsia="zh-CN"/>
              </w:rPr>
              <w:t>县</w:t>
            </w:r>
            <w:r>
              <w:rPr>
                <w:rFonts w:hint="default" w:ascii="Times New Roman" w:hAnsi="Times New Roman" w:eastAsia="仿宋" w:cs="Times New Roman"/>
                <w:kern w:val="0"/>
                <w:sz w:val="24"/>
                <w:szCs w:val="24"/>
              </w:rPr>
              <w:t>住</w:t>
            </w:r>
            <w:r>
              <w:rPr>
                <w:rFonts w:hint="default" w:ascii="Times New Roman" w:hAnsi="Times New Roman" w:eastAsia="仿宋" w:cs="Times New Roman"/>
                <w:kern w:val="0"/>
                <w:sz w:val="24"/>
                <w:szCs w:val="24"/>
                <w:lang w:eastAsia="zh-CN"/>
              </w:rPr>
              <w:t>房城乡</w:t>
            </w:r>
            <w:r>
              <w:rPr>
                <w:rFonts w:hint="default" w:ascii="Times New Roman" w:hAnsi="Times New Roman" w:eastAsia="仿宋" w:cs="Times New Roman"/>
                <w:kern w:val="0"/>
                <w:sz w:val="24"/>
                <w:szCs w:val="24"/>
              </w:rPr>
              <w:t>建</w:t>
            </w:r>
            <w:r>
              <w:rPr>
                <w:rFonts w:hint="default" w:ascii="Times New Roman" w:hAnsi="Times New Roman" w:eastAsia="仿宋" w:cs="Times New Roman"/>
                <w:kern w:val="0"/>
                <w:sz w:val="24"/>
                <w:szCs w:val="24"/>
                <w:lang w:eastAsia="zh-CN"/>
              </w:rPr>
              <w:t>设</w:t>
            </w:r>
            <w:r>
              <w:rPr>
                <w:rFonts w:hint="default" w:ascii="Times New Roman" w:hAnsi="Times New Roman" w:eastAsia="仿宋" w:cs="Times New Roman"/>
                <w:kern w:val="0"/>
                <w:sz w:val="24"/>
                <w:szCs w:val="24"/>
              </w:rPr>
              <w:t>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0" w:type="auto"/>
            <w:vMerge w:val="restart"/>
            <w:tcBorders>
              <w:top w:val="single" w:color="auto" w:sz="4" w:space="0"/>
              <w:bottom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生态生活</w:t>
            </w:r>
          </w:p>
        </w:tc>
        <w:tc>
          <w:tcPr>
            <w:tcW w:w="943" w:type="dxa"/>
            <w:vMerge w:val="restart"/>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（九）生活</w:t>
            </w:r>
          </w:p>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方式</w:t>
            </w:r>
          </w:p>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绿色化</w:t>
            </w:r>
          </w:p>
        </w:tc>
        <w:tc>
          <w:tcPr>
            <w:tcW w:w="525"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30</w:t>
            </w:r>
          </w:p>
        </w:tc>
        <w:tc>
          <w:tcPr>
            <w:tcW w:w="1853" w:type="dxa"/>
            <w:gridSpan w:val="2"/>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城镇新建绿色建筑比例</w:t>
            </w:r>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≥50</w:t>
            </w:r>
          </w:p>
        </w:tc>
        <w:tc>
          <w:tcPr>
            <w:tcW w:w="3269"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80.62</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100</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100</w:t>
            </w:r>
          </w:p>
        </w:tc>
        <w:tc>
          <w:tcPr>
            <w:tcW w:w="993"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参考性</w:t>
            </w:r>
          </w:p>
        </w:tc>
        <w:tc>
          <w:tcPr>
            <w:tcW w:w="850" w:type="dxa"/>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达标</w:t>
            </w:r>
          </w:p>
        </w:tc>
        <w:tc>
          <w:tcPr>
            <w:tcW w:w="1904" w:type="dxa"/>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lang w:eastAsia="zh-CN"/>
              </w:rPr>
              <w:t>县</w:t>
            </w:r>
            <w:r>
              <w:rPr>
                <w:rFonts w:hint="default" w:ascii="Times New Roman" w:hAnsi="Times New Roman" w:eastAsia="仿宋" w:cs="Times New Roman"/>
                <w:kern w:val="0"/>
                <w:sz w:val="24"/>
                <w:szCs w:val="24"/>
              </w:rPr>
              <w:t>住</w:t>
            </w:r>
            <w:r>
              <w:rPr>
                <w:rFonts w:hint="default" w:ascii="Times New Roman" w:hAnsi="Times New Roman" w:eastAsia="仿宋" w:cs="Times New Roman"/>
                <w:kern w:val="0"/>
                <w:sz w:val="24"/>
                <w:szCs w:val="24"/>
                <w:lang w:eastAsia="zh-CN"/>
              </w:rPr>
              <w:t>房城乡</w:t>
            </w:r>
            <w:r>
              <w:rPr>
                <w:rFonts w:hint="default" w:ascii="Times New Roman" w:hAnsi="Times New Roman" w:eastAsia="仿宋" w:cs="Times New Roman"/>
                <w:kern w:val="0"/>
                <w:sz w:val="24"/>
                <w:szCs w:val="24"/>
              </w:rPr>
              <w:t>建</w:t>
            </w:r>
            <w:r>
              <w:rPr>
                <w:rFonts w:hint="default" w:ascii="Times New Roman" w:hAnsi="Times New Roman" w:eastAsia="仿宋" w:cs="Times New Roman"/>
                <w:kern w:val="0"/>
                <w:sz w:val="24"/>
                <w:szCs w:val="24"/>
                <w:lang w:eastAsia="zh-CN"/>
              </w:rPr>
              <w:t>设</w:t>
            </w:r>
            <w:r>
              <w:rPr>
                <w:rFonts w:hint="default" w:ascii="Times New Roman" w:hAnsi="Times New Roman" w:eastAsia="仿宋" w:cs="Times New Roman"/>
                <w:kern w:val="0"/>
                <w:sz w:val="24"/>
                <w:szCs w:val="24"/>
              </w:rPr>
              <w:t>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0" w:type="auto"/>
            <w:vMerge w:val="continue"/>
            <w:tcBorders>
              <w:top w:val="single" w:color="auto" w:sz="4" w:space="0"/>
              <w:bottom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525"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31</w:t>
            </w:r>
          </w:p>
        </w:tc>
        <w:tc>
          <w:tcPr>
            <w:tcW w:w="1853" w:type="dxa"/>
            <w:gridSpan w:val="2"/>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bookmarkStart w:id="39" w:name="_Hlk86679524"/>
            <w:r>
              <w:rPr>
                <w:rFonts w:hint="default" w:ascii="Times New Roman" w:hAnsi="Times New Roman" w:eastAsia="仿宋" w:cs="Times New Roman"/>
                <w:kern w:val="0"/>
                <w:sz w:val="24"/>
                <w:szCs w:val="24"/>
              </w:rPr>
              <w:t>城镇生活垃圾分类减量化行动</w:t>
            </w:r>
            <w:bookmarkEnd w:id="39"/>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实施</w:t>
            </w:r>
          </w:p>
        </w:tc>
        <w:tc>
          <w:tcPr>
            <w:tcW w:w="3269"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实施</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实施</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实施</w:t>
            </w:r>
          </w:p>
        </w:tc>
        <w:tc>
          <w:tcPr>
            <w:tcW w:w="993"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参考性</w:t>
            </w:r>
          </w:p>
        </w:tc>
        <w:tc>
          <w:tcPr>
            <w:tcW w:w="850" w:type="dxa"/>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达标</w:t>
            </w:r>
          </w:p>
        </w:tc>
        <w:tc>
          <w:tcPr>
            <w:tcW w:w="1904" w:type="dxa"/>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lang w:eastAsia="zh-CN"/>
              </w:rPr>
              <w:t>县</w:t>
            </w:r>
            <w:r>
              <w:rPr>
                <w:rFonts w:hint="default" w:ascii="Times New Roman" w:hAnsi="Times New Roman" w:eastAsia="仿宋" w:cs="Times New Roman"/>
                <w:kern w:val="0"/>
                <w:sz w:val="24"/>
                <w:szCs w:val="24"/>
              </w:rPr>
              <w:t>住</w:t>
            </w:r>
            <w:r>
              <w:rPr>
                <w:rFonts w:hint="default" w:ascii="Times New Roman" w:hAnsi="Times New Roman" w:eastAsia="仿宋" w:cs="Times New Roman"/>
                <w:kern w:val="0"/>
                <w:sz w:val="24"/>
                <w:szCs w:val="24"/>
                <w:lang w:eastAsia="zh-CN"/>
              </w:rPr>
              <w:t>房城乡</w:t>
            </w:r>
            <w:r>
              <w:rPr>
                <w:rFonts w:hint="default" w:ascii="Times New Roman" w:hAnsi="Times New Roman" w:eastAsia="仿宋" w:cs="Times New Roman"/>
                <w:kern w:val="0"/>
                <w:sz w:val="24"/>
                <w:szCs w:val="24"/>
              </w:rPr>
              <w:t>建</w:t>
            </w:r>
            <w:r>
              <w:rPr>
                <w:rFonts w:hint="default" w:ascii="Times New Roman" w:hAnsi="Times New Roman" w:eastAsia="仿宋" w:cs="Times New Roman"/>
                <w:kern w:val="0"/>
                <w:sz w:val="24"/>
                <w:szCs w:val="24"/>
                <w:lang w:eastAsia="zh-CN"/>
              </w:rPr>
              <w:t>设</w:t>
            </w:r>
            <w:r>
              <w:rPr>
                <w:rFonts w:hint="default" w:ascii="Times New Roman" w:hAnsi="Times New Roman" w:eastAsia="仿宋" w:cs="Times New Roman"/>
                <w:kern w:val="0"/>
                <w:sz w:val="24"/>
                <w:szCs w:val="24"/>
              </w:rPr>
              <w:t>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0" w:type="auto"/>
            <w:vMerge w:val="continue"/>
            <w:tcBorders>
              <w:top w:val="single" w:color="auto" w:sz="4" w:space="0"/>
              <w:bottom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525"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32</w:t>
            </w:r>
          </w:p>
        </w:tc>
        <w:tc>
          <w:tcPr>
            <w:tcW w:w="1853" w:type="dxa"/>
            <w:gridSpan w:val="2"/>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政府绿色采购比例</w:t>
            </w:r>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≥80</w:t>
            </w:r>
          </w:p>
        </w:tc>
        <w:tc>
          <w:tcPr>
            <w:tcW w:w="3269"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89</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≥90</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≥90</w:t>
            </w:r>
          </w:p>
        </w:tc>
        <w:tc>
          <w:tcPr>
            <w:tcW w:w="993"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约束性</w:t>
            </w:r>
          </w:p>
        </w:tc>
        <w:tc>
          <w:tcPr>
            <w:tcW w:w="850" w:type="dxa"/>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达标</w:t>
            </w:r>
          </w:p>
        </w:tc>
        <w:tc>
          <w:tcPr>
            <w:tcW w:w="1904" w:type="dxa"/>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县财政局、</w:t>
            </w:r>
            <w:r>
              <w:rPr>
                <w:rFonts w:hint="default" w:ascii="Times New Roman" w:hAnsi="Times New Roman" w:eastAsia="仿宋" w:cs="Times New Roman"/>
                <w:kern w:val="0"/>
                <w:sz w:val="24"/>
                <w:szCs w:val="24"/>
                <w:lang w:eastAsia="zh-CN"/>
              </w:rPr>
              <w:t>县</w:t>
            </w:r>
            <w:r>
              <w:rPr>
                <w:rFonts w:hint="default" w:ascii="Times New Roman" w:hAnsi="Times New Roman" w:eastAsia="仿宋" w:cs="Times New Roman"/>
                <w:kern w:val="0"/>
                <w:sz w:val="24"/>
                <w:szCs w:val="24"/>
              </w:rPr>
              <w:t>统计局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0" w:type="auto"/>
            <w:vMerge w:val="restart"/>
            <w:tcBorders>
              <w:top w:val="single" w:color="auto" w:sz="4" w:space="0"/>
              <w:bottom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生态文化</w:t>
            </w:r>
          </w:p>
        </w:tc>
        <w:tc>
          <w:tcPr>
            <w:tcW w:w="943" w:type="dxa"/>
            <w:vMerge w:val="restart"/>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（十）观念意识普及</w:t>
            </w:r>
          </w:p>
        </w:tc>
        <w:tc>
          <w:tcPr>
            <w:tcW w:w="525"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33</w:t>
            </w:r>
          </w:p>
        </w:tc>
        <w:tc>
          <w:tcPr>
            <w:tcW w:w="1853" w:type="dxa"/>
            <w:gridSpan w:val="2"/>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党政干部参加生态文明培训的人数比例</w:t>
            </w:r>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100</w:t>
            </w:r>
          </w:p>
        </w:tc>
        <w:tc>
          <w:tcPr>
            <w:tcW w:w="3269"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100</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100</w:t>
            </w:r>
          </w:p>
        </w:tc>
        <w:tc>
          <w:tcPr>
            <w:tcW w:w="850"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100</w:t>
            </w:r>
          </w:p>
        </w:tc>
        <w:tc>
          <w:tcPr>
            <w:tcW w:w="993"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参考性</w:t>
            </w:r>
          </w:p>
        </w:tc>
        <w:tc>
          <w:tcPr>
            <w:tcW w:w="850" w:type="dxa"/>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达标</w:t>
            </w:r>
          </w:p>
        </w:tc>
        <w:tc>
          <w:tcPr>
            <w:tcW w:w="1904" w:type="dxa"/>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县委组织部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0" w:type="auto"/>
            <w:vMerge w:val="continue"/>
            <w:tcBorders>
              <w:top w:val="single" w:color="auto" w:sz="4" w:space="0"/>
              <w:bottom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525"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34</w:t>
            </w:r>
          </w:p>
        </w:tc>
        <w:tc>
          <w:tcPr>
            <w:tcW w:w="1853" w:type="dxa"/>
            <w:gridSpan w:val="2"/>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公众对生态文明建设的满意度</w:t>
            </w:r>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≥80</w:t>
            </w:r>
          </w:p>
        </w:tc>
        <w:tc>
          <w:tcPr>
            <w:tcW w:w="3269" w:type="dxa"/>
            <w:shd w:val="clear" w:color="auto" w:fill="auto"/>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未统计</w:t>
            </w:r>
          </w:p>
        </w:tc>
        <w:tc>
          <w:tcPr>
            <w:tcW w:w="850" w:type="dxa"/>
            <w:shd w:val="clear" w:color="auto" w:fill="auto"/>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≥80</w:t>
            </w:r>
          </w:p>
        </w:tc>
        <w:tc>
          <w:tcPr>
            <w:tcW w:w="850" w:type="dxa"/>
            <w:shd w:val="clear" w:color="auto" w:fill="auto"/>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≥85</w:t>
            </w:r>
          </w:p>
        </w:tc>
        <w:tc>
          <w:tcPr>
            <w:tcW w:w="993" w:type="dxa"/>
            <w:shd w:val="clear" w:color="auto" w:fill="auto"/>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参考性</w:t>
            </w:r>
          </w:p>
        </w:tc>
        <w:tc>
          <w:tcPr>
            <w:tcW w:w="850" w:type="dxa"/>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未统计</w:t>
            </w:r>
          </w:p>
        </w:tc>
        <w:tc>
          <w:tcPr>
            <w:tcW w:w="1904" w:type="dxa"/>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lang w:eastAsia="zh-CN"/>
              </w:rPr>
              <w:t>兴安</w:t>
            </w:r>
            <w:r>
              <w:rPr>
                <w:rFonts w:hint="default" w:ascii="Times New Roman" w:hAnsi="Times New Roman" w:eastAsia="仿宋" w:cs="Times New Roman"/>
                <w:kern w:val="0"/>
                <w:sz w:val="24"/>
                <w:szCs w:val="24"/>
              </w:rPr>
              <w:t>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0" w:type="auto"/>
            <w:vMerge w:val="continue"/>
            <w:tcBorders>
              <w:top w:val="single" w:color="auto" w:sz="4" w:space="0"/>
              <w:bottom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943" w:type="dxa"/>
            <w:vMerge w:val="continue"/>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p>
        </w:tc>
        <w:tc>
          <w:tcPr>
            <w:tcW w:w="525"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35</w:t>
            </w:r>
          </w:p>
        </w:tc>
        <w:tc>
          <w:tcPr>
            <w:tcW w:w="1853" w:type="dxa"/>
            <w:gridSpan w:val="2"/>
            <w:shd w:val="clear" w:color="auto" w:fill="auto"/>
            <w:vAlign w:val="center"/>
          </w:tcPr>
          <w:p>
            <w:pPr>
              <w:widowControl/>
              <w:spacing w:line="240" w:lineRule="auto"/>
              <w:ind w:firstLine="0" w:firstLineChars="0"/>
              <w:jc w:val="left"/>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公众对生态文明建设的参与度</w:t>
            </w:r>
          </w:p>
        </w:tc>
        <w:tc>
          <w:tcPr>
            <w:tcW w:w="464"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w:t>
            </w:r>
          </w:p>
        </w:tc>
        <w:tc>
          <w:tcPr>
            <w:tcW w:w="1188" w:type="dxa"/>
            <w:shd w:val="clear" w:color="auto" w:fill="auto"/>
            <w:vAlign w:val="center"/>
          </w:tcPr>
          <w:p>
            <w:pPr>
              <w:widowControl/>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≥80</w:t>
            </w:r>
          </w:p>
        </w:tc>
        <w:tc>
          <w:tcPr>
            <w:tcW w:w="3269" w:type="dxa"/>
            <w:shd w:val="clear" w:color="auto" w:fill="auto"/>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未统计</w:t>
            </w:r>
          </w:p>
        </w:tc>
        <w:tc>
          <w:tcPr>
            <w:tcW w:w="850" w:type="dxa"/>
            <w:shd w:val="clear" w:color="auto" w:fill="auto"/>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≥80</w:t>
            </w:r>
          </w:p>
        </w:tc>
        <w:tc>
          <w:tcPr>
            <w:tcW w:w="850" w:type="dxa"/>
            <w:shd w:val="clear" w:color="auto" w:fill="auto"/>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≥85</w:t>
            </w:r>
          </w:p>
        </w:tc>
        <w:tc>
          <w:tcPr>
            <w:tcW w:w="993" w:type="dxa"/>
            <w:shd w:val="clear" w:color="auto" w:fill="auto"/>
            <w:vAlign w:val="center"/>
          </w:tcPr>
          <w:p>
            <w:pPr>
              <w:widowControl/>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参考性</w:t>
            </w:r>
          </w:p>
        </w:tc>
        <w:tc>
          <w:tcPr>
            <w:tcW w:w="850" w:type="dxa"/>
            <w:shd w:val="clear" w:color="auto" w:fill="auto"/>
            <w:vAlign w:val="center"/>
          </w:tcPr>
          <w:p>
            <w:pPr>
              <w:snapToGrid w:val="0"/>
              <w:spacing w:line="240" w:lineRule="auto"/>
              <w:ind w:firstLine="0" w:firstLineChars="0"/>
              <w:jc w:val="center"/>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rPr>
              <w:t>未统计</w:t>
            </w:r>
          </w:p>
        </w:tc>
        <w:tc>
          <w:tcPr>
            <w:tcW w:w="1904" w:type="dxa"/>
            <w:vAlign w:val="center"/>
          </w:tcPr>
          <w:p>
            <w:pPr>
              <w:snapToGrid w:val="0"/>
              <w:spacing w:line="240" w:lineRule="auto"/>
              <w:ind w:firstLine="0" w:firstLineChars="0"/>
              <w:rPr>
                <w:rFonts w:hint="default" w:ascii="Times New Roman" w:hAnsi="Times New Roman" w:eastAsia="仿宋" w:cs="Times New Roman"/>
                <w:kern w:val="0"/>
                <w:sz w:val="24"/>
                <w:szCs w:val="24"/>
              </w:rPr>
            </w:pPr>
            <w:r>
              <w:rPr>
                <w:rFonts w:hint="default" w:ascii="Times New Roman" w:hAnsi="Times New Roman" w:eastAsia="仿宋" w:cs="Times New Roman"/>
                <w:kern w:val="0"/>
                <w:sz w:val="24"/>
                <w:szCs w:val="24"/>
                <w:lang w:eastAsia="zh-CN"/>
              </w:rPr>
              <w:t>兴安</w:t>
            </w:r>
            <w:r>
              <w:rPr>
                <w:rFonts w:hint="default" w:ascii="Times New Roman" w:hAnsi="Times New Roman" w:eastAsia="仿宋" w:cs="Times New Roman"/>
                <w:kern w:val="0"/>
                <w:sz w:val="24"/>
                <w:szCs w:val="24"/>
              </w:rPr>
              <w:t>生态环境局</w:t>
            </w:r>
          </w:p>
        </w:tc>
      </w:tr>
    </w:tbl>
    <w:p>
      <w:pPr>
        <w:ind w:firstLine="480"/>
        <w:rPr>
          <w:rFonts w:hint="default" w:ascii="Times New Roman" w:hAnsi="Times New Roman" w:eastAsia="仿宋" w:cs="Times New Roman"/>
          <w:sz w:val="24"/>
          <w:szCs w:val="24"/>
        </w:rPr>
      </w:pPr>
    </w:p>
    <w:p>
      <w:pPr>
        <w:ind w:firstLine="480"/>
        <w:rPr>
          <w:rFonts w:hint="default" w:ascii="Times New Roman" w:hAnsi="Times New Roman" w:eastAsia="仿宋" w:cs="Times New Roman"/>
          <w:sz w:val="24"/>
          <w:szCs w:val="24"/>
        </w:rPr>
        <w:sectPr>
          <w:pgSz w:w="16838" w:h="11906" w:orient="landscape"/>
          <w:pgMar w:top="1417" w:right="1440" w:bottom="1417" w:left="1440" w:header="851" w:footer="992" w:gutter="0"/>
          <w:cols w:space="0" w:num="1"/>
          <w:rtlGutter w:val="0"/>
          <w:docGrid w:type="lines" w:linePitch="394" w:charSpace="0"/>
        </w:sectPr>
      </w:pPr>
    </w:p>
    <w:p>
      <w:pPr>
        <w:spacing w:after="190" w:afterLines="50"/>
        <w:ind w:firstLine="0" w:firstLineChars="0"/>
        <w:jc w:val="center"/>
        <w:outlineLvl w:val="0"/>
        <w:rPr>
          <w:rFonts w:hint="default" w:ascii="Times New Roman" w:hAnsi="Times New Roman" w:eastAsia="黑体" w:cs="Times New Roman"/>
          <w:b/>
          <w:bCs/>
          <w:sz w:val="44"/>
          <w:szCs w:val="44"/>
        </w:rPr>
      </w:pPr>
      <w:bookmarkStart w:id="40" w:name="_Toc153528952"/>
      <w:bookmarkStart w:id="41" w:name="_Toc151734541"/>
      <w:r>
        <w:rPr>
          <w:rFonts w:hint="default" w:ascii="Times New Roman" w:hAnsi="Times New Roman" w:eastAsia="黑体" w:cs="Times New Roman"/>
          <w:b w:val="0"/>
          <w:bCs w:val="0"/>
          <w:sz w:val="44"/>
          <w:szCs w:val="44"/>
        </w:rPr>
        <w:t>第三章 规划任务与措施</w:t>
      </w:r>
      <w:bookmarkEnd w:id="40"/>
      <w:bookmarkEnd w:id="41"/>
    </w:p>
    <w:p>
      <w:pPr>
        <w:ind w:firstLine="0" w:firstLineChars="0"/>
        <w:jc w:val="center"/>
        <w:outlineLvl w:val="1"/>
        <w:rPr>
          <w:rFonts w:hint="default" w:ascii="Times New Roman" w:hAnsi="Times New Roman" w:eastAsia="楷体" w:cs="Times New Roman"/>
          <w:b w:val="0"/>
          <w:bCs w:val="0"/>
          <w:sz w:val="32"/>
          <w:szCs w:val="24"/>
        </w:rPr>
      </w:pPr>
      <w:bookmarkStart w:id="42" w:name="_Toc151734542"/>
      <w:bookmarkStart w:id="43" w:name="_Toc153528953"/>
      <w:r>
        <w:rPr>
          <w:rFonts w:hint="default" w:ascii="Times New Roman" w:hAnsi="Times New Roman" w:eastAsia="黑体" w:cs="Times New Roman"/>
          <w:b w:val="0"/>
          <w:bCs w:val="0"/>
          <w:sz w:val="32"/>
          <w:szCs w:val="24"/>
        </w:rPr>
        <w:t>第一节 以高效能治理激发生态优势地区制度活力</w:t>
      </w:r>
      <w:bookmarkEnd w:id="42"/>
      <w:bookmarkEnd w:id="43"/>
    </w:p>
    <w:p>
      <w:pPr>
        <w:ind w:firstLine="562"/>
        <w:outlineLvl w:val="2"/>
        <w:rPr>
          <w:rFonts w:hint="eastAsia" w:ascii="黑体" w:hAnsi="黑体" w:eastAsia="黑体" w:cs="黑体"/>
          <w:b w:val="0"/>
          <w:bCs w:val="0"/>
          <w:sz w:val="28"/>
          <w:szCs w:val="28"/>
        </w:rPr>
      </w:pPr>
      <w:bookmarkStart w:id="44" w:name="_Toc151734543"/>
      <w:r>
        <w:rPr>
          <w:rFonts w:hint="eastAsia" w:ascii="黑体" w:hAnsi="黑体" w:eastAsia="黑体" w:cs="黑体"/>
          <w:b w:val="0"/>
          <w:bCs w:val="0"/>
          <w:sz w:val="28"/>
          <w:szCs w:val="28"/>
        </w:rPr>
        <w:t>一、建立生态文明科学决策机制</w:t>
      </w:r>
      <w:bookmarkEnd w:id="44"/>
    </w:p>
    <w:p>
      <w:pPr>
        <w:ind w:firstLine="568" w:firstLineChars="202"/>
        <w:rPr>
          <w:rFonts w:hint="default" w:ascii="Times New Roman" w:hAnsi="Times New Roman" w:cs="Times New Roman"/>
          <w:sz w:val="28"/>
          <w:szCs w:val="28"/>
        </w:rPr>
      </w:pPr>
      <w:r>
        <w:rPr>
          <w:rFonts w:hint="default" w:ascii="Times New Roman" w:hAnsi="Times New Roman" w:cs="Times New Roman"/>
          <w:b/>
          <w:bCs/>
          <w:sz w:val="28"/>
          <w:szCs w:val="28"/>
        </w:rPr>
        <w:t>建立生态文明综合决策机制。</w:t>
      </w:r>
      <w:r>
        <w:rPr>
          <w:rFonts w:hint="default" w:ascii="Times New Roman" w:hAnsi="Times New Roman" w:cs="Times New Roman"/>
          <w:sz w:val="28"/>
          <w:szCs w:val="28"/>
        </w:rPr>
        <w:t>全面构建“县统一领导、生态环境部门统一监督管理、有关部门分工负责”的生态文明建设工作机制。继续实施环境保护领导责任制与目标责任制，对生态文明建设相关责任单位及各乡（镇）人民政府实施目标责任管理，进行考核督查。提升兴安县人民代表大会和政治协商对生态文明建设的立法监督问责职能。</w:t>
      </w:r>
    </w:p>
    <w:p>
      <w:pPr>
        <w:ind w:firstLine="568" w:firstLineChars="202"/>
        <w:rPr>
          <w:rFonts w:hint="default" w:ascii="Times New Roman" w:hAnsi="Times New Roman" w:cs="Times New Roman"/>
          <w:sz w:val="28"/>
          <w:szCs w:val="28"/>
        </w:rPr>
      </w:pPr>
      <w:r>
        <w:rPr>
          <w:rFonts w:hint="default" w:ascii="Times New Roman" w:hAnsi="Times New Roman" w:cs="Times New Roman"/>
          <w:b/>
          <w:bCs/>
          <w:sz w:val="28"/>
          <w:szCs w:val="28"/>
        </w:rPr>
        <w:t>建立生态文明建设咨询制度。</w:t>
      </w:r>
      <w:r>
        <w:rPr>
          <w:rFonts w:hint="default" w:ascii="Times New Roman" w:hAnsi="Times New Roman" w:cs="Times New Roman"/>
          <w:sz w:val="28"/>
          <w:szCs w:val="28"/>
        </w:rPr>
        <w:t>由兴安县生态环境保护委员会办公室负责建立由多学科专家组成的生态文明建设咨询机制，组建“兴安县生态文明建设咨询专家委员会”，定期组织对经济与社会发展的重大决策、规划实施以及重大开发建设活动可能带来的环境影响进行充分的研讨和咨询，为决策提供科学依据，使综合决策做到规范化、制度化。</w:t>
      </w:r>
    </w:p>
    <w:p>
      <w:pPr>
        <w:ind w:firstLine="568" w:firstLineChars="202"/>
        <w:rPr>
          <w:rFonts w:hint="default" w:ascii="Times New Roman" w:hAnsi="Times New Roman" w:cs="Times New Roman"/>
          <w:sz w:val="28"/>
          <w:szCs w:val="28"/>
        </w:rPr>
      </w:pPr>
      <w:r>
        <w:rPr>
          <w:rFonts w:hint="default" w:ascii="Times New Roman" w:hAnsi="Times New Roman" w:cs="Times New Roman"/>
          <w:b/>
          <w:bCs/>
          <w:sz w:val="28"/>
          <w:szCs w:val="28"/>
        </w:rPr>
        <w:t>完善生态文明建设协调机制。</w:t>
      </w:r>
      <w:r>
        <w:rPr>
          <w:rFonts w:hint="default" w:ascii="Times New Roman" w:hAnsi="Times New Roman" w:cs="Times New Roman"/>
          <w:sz w:val="28"/>
          <w:szCs w:val="28"/>
        </w:rPr>
        <w:t>建立兴安县各乡（镇）之间、各部门之间的沟通协调机制，兴安县生态环境保护委员会办公室定期召开协调会，密切配合，齐抓共管，形成合力，研究解决推进《兴安县国家生态文明建设示范区创建规划》过程中所遇到的重大问题，高效、协同、有序推进规划实施。</w:t>
      </w:r>
    </w:p>
    <w:p>
      <w:pPr>
        <w:ind w:firstLine="562"/>
        <w:outlineLvl w:val="2"/>
        <w:rPr>
          <w:rFonts w:hint="default" w:ascii="黑体" w:hAnsi="黑体" w:eastAsia="黑体" w:cs="黑体"/>
          <w:b w:val="0"/>
          <w:bCs w:val="0"/>
          <w:sz w:val="28"/>
          <w:szCs w:val="28"/>
        </w:rPr>
      </w:pPr>
      <w:bookmarkStart w:id="45" w:name="_Toc151734544"/>
      <w:r>
        <w:rPr>
          <w:rFonts w:hint="default" w:ascii="黑体" w:hAnsi="黑体" w:eastAsia="黑体" w:cs="黑体"/>
          <w:b w:val="0"/>
          <w:bCs w:val="0"/>
          <w:sz w:val="28"/>
          <w:szCs w:val="28"/>
        </w:rPr>
        <w:t>二、实行最严格生态环境保护制度</w:t>
      </w:r>
      <w:bookmarkEnd w:id="45"/>
    </w:p>
    <w:p>
      <w:pPr>
        <w:ind w:firstLine="568" w:firstLineChars="202"/>
        <w:rPr>
          <w:rFonts w:hint="default" w:ascii="Times New Roman" w:hAnsi="Times New Roman" w:cs="Times New Roman"/>
          <w:sz w:val="28"/>
          <w:szCs w:val="28"/>
        </w:rPr>
      </w:pPr>
      <w:r>
        <w:rPr>
          <w:rFonts w:hint="default" w:ascii="Times New Roman" w:hAnsi="Times New Roman" w:cs="Times New Roman"/>
          <w:b/>
          <w:bCs/>
          <w:sz w:val="28"/>
          <w:szCs w:val="28"/>
        </w:rPr>
        <w:t>实施生态红线管理制度。</w:t>
      </w:r>
      <w:r>
        <w:rPr>
          <w:rFonts w:hint="default" w:ascii="Times New Roman" w:hAnsi="Times New Roman" w:cs="Times New Roman"/>
          <w:sz w:val="28"/>
          <w:szCs w:val="28"/>
        </w:rPr>
        <w:t>推动生态保护红线尽快完成划定并落地，按国家有关生态保护红线的监督管理办法严格管控。完成全县生态保护红线勘界定标。开展生态保护红线基础调查和人类活动遥感监测，及时发现、移交、查处各类生态破坏问题并监督保护修复情况。强化自然资源、林业、生态环境、水利等部门联动，协同开展生态保护红线监管执法。根据自治区要求，定期组织开展生态保护红线的保护修复成效评估，强化各地政府及有关部门对生态保护红线的保护修复与管理责任，加大对挤占生态空间和损害重要生态系统等行为的惩处力度。</w:t>
      </w:r>
    </w:p>
    <w:p>
      <w:pPr>
        <w:ind w:firstLine="568" w:firstLineChars="202"/>
        <w:rPr>
          <w:rFonts w:hint="default" w:ascii="Times New Roman" w:hAnsi="Times New Roman" w:cs="Times New Roman"/>
          <w:sz w:val="28"/>
          <w:szCs w:val="28"/>
        </w:rPr>
      </w:pPr>
      <w:r>
        <w:rPr>
          <w:rFonts w:hint="default" w:ascii="Times New Roman" w:hAnsi="Times New Roman" w:cs="Times New Roman"/>
          <w:b/>
          <w:bCs/>
          <w:sz w:val="28"/>
          <w:szCs w:val="28"/>
        </w:rPr>
        <w:t>依法实行排污许可管理制度。</w:t>
      </w:r>
      <w:r>
        <w:rPr>
          <w:rFonts w:hint="default" w:ascii="Times New Roman" w:hAnsi="Times New Roman" w:cs="Times New Roman"/>
          <w:sz w:val="28"/>
          <w:szCs w:val="28"/>
        </w:rPr>
        <w:t>加快推进排污许可与环评、总量控制、生态环境统计、生态环境监测、生态环境执法等生态环境管理制度衔接，构建以排污许可制为核心的固定污染源监管制度体系。依法依规做好排污许可证核发、延续、变更、重新申请等工作。组织开展基于排污许可证的监管、监测、监察“三监”联动试点。推动重点行业环境影响评价、排污许可、监管执法全闭环管理。实施固定污染源全过程管理和多污染物协同控制。将总量控制目标分解到企业，利用排污许可对污染物排放实行网格式管理，加强排污许可证后管理，开展排污许可专项执法检查，落实排污许可“一证式”管理，确保企业依证排污、达标排放。</w:t>
      </w:r>
    </w:p>
    <w:p>
      <w:pPr>
        <w:ind w:firstLine="568" w:firstLineChars="202"/>
        <w:rPr>
          <w:rFonts w:hint="default" w:ascii="Times New Roman" w:hAnsi="Times New Roman" w:cs="Times New Roman"/>
          <w:sz w:val="28"/>
          <w:szCs w:val="28"/>
        </w:rPr>
      </w:pPr>
      <w:r>
        <w:rPr>
          <w:rFonts w:hint="default" w:ascii="Times New Roman" w:hAnsi="Times New Roman" w:cs="Times New Roman"/>
          <w:b/>
          <w:bCs/>
          <w:sz w:val="28"/>
          <w:szCs w:val="28"/>
        </w:rPr>
        <w:t>进一步严格环境准入制度。</w:t>
      </w:r>
      <w:r>
        <w:rPr>
          <w:rFonts w:hint="default" w:ascii="Times New Roman" w:hAnsi="Times New Roman" w:cs="Times New Roman"/>
          <w:sz w:val="28"/>
          <w:szCs w:val="28"/>
        </w:rPr>
        <w:t>实行更严格的环境准入制度，强化“三线一单”生态管控要求，结合空间布局约束、污染排放管控和环境风险管控等因素，对环境管控单元实施差异化生态环境准入管理，促进生态环境保护精细化管理，严把建设项目准入关。严格落实园区项目准入和排放强度要求，工业项目一律进入合规工业园区，禁止引入不符合产业政策和园区发展规划的项目，严格控制承接高排放产业转移。把好高耗能、高排放“两高”项目环境准入关，严格执行“两高”行业项目环评审批原则和准入条件，推动相关产业布局优化和结构调整，落实主要污染物区域削减、产能置换、煤炭消费减量替代等措施。</w:t>
      </w:r>
    </w:p>
    <w:p>
      <w:pPr>
        <w:ind w:firstLine="568" w:firstLineChars="202"/>
        <w:rPr>
          <w:rFonts w:hint="default" w:ascii="Times New Roman" w:hAnsi="Times New Roman" w:cs="Times New Roman"/>
          <w:sz w:val="28"/>
          <w:szCs w:val="28"/>
        </w:rPr>
      </w:pPr>
      <w:r>
        <w:rPr>
          <w:rFonts w:hint="default" w:ascii="Times New Roman" w:hAnsi="Times New Roman" w:cs="Times New Roman"/>
          <w:b/>
          <w:bCs/>
          <w:sz w:val="28"/>
          <w:szCs w:val="28"/>
        </w:rPr>
        <w:t>健全生态环境行政执法与司法联动工作机制。</w:t>
      </w:r>
      <w:r>
        <w:rPr>
          <w:rFonts w:hint="default" w:ascii="Times New Roman" w:hAnsi="Times New Roman" w:cs="Times New Roman"/>
          <w:sz w:val="28"/>
          <w:szCs w:val="28"/>
        </w:rPr>
        <w:t>完善生态环境行政执法与司法联动工作机制，联合开展专项行动，推动公益诉讼与行政处罚、刑事司法、生态环境损害赔偿等制度有效衔接。实行生态环境保护综合行政执法机关、公安机关、检察机关、审判机关信息共享、案情通报、案件移送制度。建立环境资源类案件刑事、民事、行政专业化审判团队，推进环境资源审判体系建设，加大公众参与和司法公开力度。完善案件信息共享机制，加强“以案释法”和环境审判信息公开。完善环境公益诉讼制度，拓宽环境公益诉讼范围，加大对生态环境破坏案件的起诉力度。</w:t>
      </w:r>
    </w:p>
    <w:p>
      <w:pPr>
        <w:ind w:firstLine="568" w:firstLineChars="202"/>
        <w:rPr>
          <w:rFonts w:hint="default" w:ascii="Times New Roman" w:hAnsi="Times New Roman" w:cs="Times New Roman"/>
          <w:sz w:val="28"/>
          <w:szCs w:val="28"/>
        </w:rPr>
      </w:pPr>
      <w:r>
        <w:rPr>
          <w:rFonts w:hint="default" w:ascii="Times New Roman" w:hAnsi="Times New Roman" w:eastAsia="仿宋_GB2312" w:cs="Times New Roman"/>
          <w:b/>
          <w:bCs/>
          <w:sz w:val="28"/>
          <w:szCs w:val="28"/>
        </w:rPr>
        <w:t>落实生态环境信息公开制度。</w:t>
      </w:r>
      <w:r>
        <w:rPr>
          <w:rFonts w:hint="default" w:ascii="Times New Roman" w:hAnsi="Times New Roman" w:eastAsia="仿宋_GB2312" w:cs="Times New Roman"/>
          <w:sz w:val="28"/>
          <w:szCs w:val="28"/>
        </w:rPr>
        <w:t>按照《中华人民共和国政府信息公开条例》（国务院令第711号）和《环境保护厅办公室转发环境保护部关于加强污染源环境监管信息公开工作的通知》（桂环办函〔2013〕545号）要求，以“公开为常态、不公开为例外”为原则, 充分利用互联网、电视、广播、报刊、杂志、手机软件、新闻发布会及其他有效载体，及时主动公开各类生态环境信息，切实保障人民群众的环境知情权、参与权、监督权和表达权。认真贯彻落实生态环境部《企业环境信息依法披露管理办法》（部令 第24号）、《环境信息依法披露制度改革方案》（环综合〔2021〕43号），建立健全兴安县企业环境信息依法披露制度，每年制定并印发年度环境信息依法披露企业名单，指导监督重点企业依法及时披露企业环境信息。确保生态环境信息和企业强制性生态环境信息公开的比例达到100%。</w:t>
      </w:r>
    </w:p>
    <w:p>
      <w:pPr>
        <w:ind w:firstLine="562"/>
        <w:outlineLvl w:val="2"/>
        <w:rPr>
          <w:rFonts w:hint="default" w:ascii="黑体" w:hAnsi="黑体" w:eastAsia="黑体" w:cs="黑体"/>
          <w:b w:val="0"/>
          <w:bCs w:val="0"/>
          <w:sz w:val="28"/>
          <w:szCs w:val="28"/>
        </w:rPr>
      </w:pPr>
      <w:bookmarkStart w:id="46" w:name="_Toc151734545"/>
      <w:r>
        <w:rPr>
          <w:rFonts w:hint="default" w:ascii="黑体" w:hAnsi="黑体" w:eastAsia="黑体" w:cs="黑体"/>
          <w:b w:val="0"/>
          <w:bCs w:val="0"/>
          <w:sz w:val="28"/>
          <w:szCs w:val="28"/>
        </w:rPr>
        <w:t>三、建立健全资源高效利用制度</w:t>
      </w:r>
      <w:bookmarkEnd w:id="46"/>
    </w:p>
    <w:p>
      <w:pPr>
        <w:ind w:firstLine="568" w:firstLineChars="202"/>
        <w:rPr>
          <w:rFonts w:hint="default" w:ascii="Times New Roman" w:hAnsi="Times New Roman" w:eastAsia="仿宋_GB2312" w:cs="Times New Roman"/>
          <w:sz w:val="28"/>
          <w:szCs w:val="28"/>
        </w:rPr>
      </w:pPr>
      <w:r>
        <w:rPr>
          <w:rFonts w:hint="default" w:ascii="Times New Roman" w:hAnsi="Times New Roman" w:eastAsia="仿宋_GB2312" w:cs="Times New Roman"/>
          <w:b/>
          <w:bCs/>
          <w:sz w:val="28"/>
          <w:szCs w:val="28"/>
        </w:rPr>
        <w:t>推行自然资源资产负债表试编制度。</w:t>
      </w:r>
      <w:r>
        <w:rPr>
          <w:rFonts w:hint="default" w:ascii="Times New Roman" w:hAnsi="Times New Roman" w:eastAsia="仿宋_GB2312" w:cs="Times New Roman"/>
          <w:sz w:val="28"/>
          <w:szCs w:val="28"/>
        </w:rPr>
        <w:t>按照《关于印发〈自然资源资产负债表编制制度（试行）〉》（国统字〔2020〕143号）要求，持续深化自然资源资产负债表试编工作，进一步完善编制方法，改进工作思路和方式，不断完善报表内容、编制方法和组织方式，总结形成可复制、可推广的经验，实现报表工作的制度化和规范化。加强各部门沟通协调，主动争取上级部门技术指导，定期开展自然资源资产负债表编制培训工作，不断提高数据来源的可靠性、准确性。探索开展自然资源资产价值量核算。</w:t>
      </w:r>
    </w:p>
    <w:p>
      <w:pPr>
        <w:ind w:firstLine="568" w:firstLineChars="202"/>
        <w:rPr>
          <w:rFonts w:hint="default" w:ascii="Times New Roman" w:hAnsi="Times New Roman" w:cs="Times New Roman"/>
          <w:sz w:val="28"/>
          <w:szCs w:val="28"/>
        </w:rPr>
      </w:pPr>
      <w:r>
        <w:rPr>
          <w:rFonts w:hint="default" w:ascii="Times New Roman" w:hAnsi="Times New Roman" w:eastAsia="仿宋_GB2312" w:cs="Times New Roman"/>
          <w:b/>
          <w:bCs/>
          <w:sz w:val="28"/>
          <w:szCs w:val="28"/>
        </w:rPr>
        <w:t>深化自然资源资产产权制度改革。</w:t>
      </w:r>
      <w:r>
        <w:rPr>
          <w:rFonts w:hint="default" w:ascii="Times New Roman" w:hAnsi="Times New Roman" w:eastAsia="仿宋_GB2312" w:cs="Times New Roman"/>
          <w:sz w:val="28"/>
          <w:szCs w:val="28"/>
        </w:rPr>
        <w:t>开展全民所有自然资源资产所有权委托代理机制试点，探索土地、矿产、森林、草原、湿地、水等6类资源资产的委托代理工作。全面铺开、分阶段推进我县水流、森林、山岭、草原、荒地以及探明储量的矿产资源等自然资源的所有权和所有自然生态空间统一确权登记工作，逐步实现自然资源登记全覆盖。构建全民所有自然资源资产清查统计和评估核算制度，开展全民所有自然资源资产清查。建立我县国有自然资源资产报告制度。完善自然资源资产产权信息公开制度。建立所有者职责履行主体、代理履行主体对全民所有自然资源资产损害依法请求赔偿的工作机制。</w:t>
      </w:r>
    </w:p>
    <w:p>
      <w:pPr>
        <w:ind w:firstLine="568" w:firstLineChars="202"/>
        <w:rPr>
          <w:rFonts w:hint="default" w:ascii="Times New Roman" w:hAnsi="Times New Roman" w:cs="Times New Roman"/>
          <w:sz w:val="28"/>
          <w:szCs w:val="28"/>
        </w:rPr>
      </w:pPr>
      <w:r>
        <w:rPr>
          <w:rFonts w:hint="default" w:ascii="Times New Roman" w:hAnsi="Times New Roman" w:eastAsia="仿宋_GB2312" w:cs="Times New Roman"/>
          <w:b/>
          <w:bCs/>
          <w:sz w:val="28"/>
          <w:szCs w:val="28"/>
        </w:rPr>
        <w:t>深化自然资源要素市场化配置改革。</w:t>
      </w:r>
      <w:r>
        <w:rPr>
          <w:rFonts w:hint="default" w:ascii="Times New Roman" w:hAnsi="Times New Roman" w:eastAsia="仿宋_GB2312" w:cs="Times New Roman"/>
          <w:sz w:val="28"/>
          <w:szCs w:val="28"/>
        </w:rPr>
        <w:t>统筹做好自然资源有偿使用制度改革，研究制定我县全民所有自然资源资产有偿使用制度改革实施方案。探索建立自然资源资产储备制度，对国有建设用地等全民所有自然资源资产实施储备并依法配置和利用。推进自然资源市场体系建设，逐步建立完善统一的自然资源市场交易规则。探索建立建设用地复垦指标交易机制，将城乡建设用地增减挂钩节余指标剥离使用和交易。创新产业用地市场化配置，推行工业用地“亩产论英雄”改革并完善其评价体系和奖惩机制。建立健全符合兴安县实际的农村集体经营性建设用地入市制度。推进矿业权“净矿”出让改革。统筹推进林地使用权交易平台和服务体系建设，健全市场监测监管和调控机制。到2030年，单位国内生产总值建设用地使用面积下降率达到4.5%以上。</w:t>
      </w:r>
    </w:p>
    <w:p>
      <w:pPr>
        <w:ind w:firstLine="568" w:firstLineChars="202"/>
        <w:rPr>
          <w:rFonts w:hint="default" w:ascii="Times New Roman" w:hAnsi="Times New Roman" w:eastAsia="仿宋_GB2312" w:cs="Times New Roman"/>
        </w:rPr>
      </w:pPr>
      <w:r>
        <w:rPr>
          <w:rFonts w:hint="default" w:ascii="Times New Roman" w:hAnsi="Times New Roman" w:eastAsia="仿宋_GB2312" w:cs="Times New Roman"/>
          <w:b/>
          <w:bCs/>
        </w:rPr>
        <w:t>探索建立生态产品价值实现机制。</w:t>
      </w:r>
      <w:r>
        <w:rPr>
          <w:rFonts w:hint="default" w:ascii="Times New Roman" w:hAnsi="Times New Roman" w:eastAsia="仿宋_GB2312" w:cs="Times New Roman"/>
        </w:rPr>
        <w:t>开展生态产品信息普查，形成生态产品目录清单，建立生态产品动态监测制度。加快完善政府主导、企业和社会各界参与、市场化运作、可持续的生态产品价值实现路径。建立生态产品价值评价机制，开展生态产品价值核算试点示范，构建生态产品价值核算体系、价格体系和交易体系。拓展生态产品价值实现模式，研究建立生态产品价值提升、生态产品供需精准对接、生态产业化经营、生态资源及产权交易等多元化生态产品可持续经营开发模式。打造特色项目的生态产品区域公用品牌，加强品牌培育和保护，提升生态产品溢价。推动开展生态环境导向的开发（EOD）项目的争取和实施。</w:t>
      </w:r>
    </w:p>
    <w:p>
      <w:pPr>
        <w:ind w:firstLine="562"/>
        <w:outlineLvl w:val="2"/>
        <w:rPr>
          <w:rFonts w:hint="default" w:ascii="黑体" w:hAnsi="黑体" w:eastAsia="黑体" w:cs="黑体"/>
          <w:b w:val="0"/>
          <w:bCs w:val="0"/>
          <w:sz w:val="28"/>
          <w:szCs w:val="28"/>
        </w:rPr>
      </w:pPr>
      <w:bookmarkStart w:id="47" w:name="_Toc151734546"/>
      <w:r>
        <w:rPr>
          <w:rFonts w:hint="default" w:ascii="黑体" w:hAnsi="黑体" w:eastAsia="黑体" w:cs="黑体"/>
          <w:b w:val="0"/>
          <w:bCs w:val="0"/>
          <w:sz w:val="28"/>
          <w:szCs w:val="28"/>
        </w:rPr>
        <w:t>四、深化生态保护和修复制度</w:t>
      </w:r>
      <w:bookmarkEnd w:id="47"/>
    </w:p>
    <w:p>
      <w:pPr>
        <w:ind w:firstLine="568" w:firstLineChars="202"/>
        <w:rPr>
          <w:rFonts w:hint="default" w:ascii="Times New Roman" w:hAnsi="Times New Roman" w:cs="Times New Roman"/>
        </w:rPr>
      </w:pPr>
      <w:r>
        <w:rPr>
          <w:rFonts w:hint="default" w:ascii="Times New Roman" w:hAnsi="Times New Roman" w:cs="Times New Roman"/>
          <w:b/>
          <w:bCs/>
        </w:rPr>
        <w:t>深化生态保护补偿制度改革。</w:t>
      </w:r>
      <w:r>
        <w:rPr>
          <w:rFonts w:hint="default" w:ascii="Times New Roman" w:hAnsi="Times New Roman" w:cs="Times New Roman"/>
        </w:rPr>
        <w:t>健全生态保护补偿机制，积极探索完善漓江流域上下游横向生态保护补偿机制和县内生活垃圾处理生态补偿制度，探索建立县内流域上下游横向生态保护补偿机制，持续推进森林、湿地、水流、耕地等领域生态保护补偿。落实自治区重点生态功能区转移支付工作部署，在重点生态功能区转移支付中，参考生态保护红线、自然保护地面积占比等要素实施差异化补偿。将相关生态功能区转移支付重点用于生态环境保护和改善民生，切实加大生态帮扶投入，提高重点生态功能区的基本公共服务保障能力。探索建立能够体现碳汇价值的生态保护补偿机制。鼓励生态产品供给地和受益地通过自愿协商等推进横向生态保护补偿。</w:t>
      </w:r>
    </w:p>
    <w:p>
      <w:pPr>
        <w:ind w:firstLine="568" w:firstLineChars="202"/>
        <w:rPr>
          <w:rFonts w:hint="default" w:ascii="Times New Roman" w:hAnsi="Times New Roman" w:cs="Times New Roman"/>
        </w:rPr>
      </w:pPr>
      <w:r>
        <w:rPr>
          <w:rFonts w:hint="default" w:ascii="Times New Roman" w:hAnsi="Times New Roman" w:cs="Times New Roman"/>
          <w:b/>
          <w:bCs/>
        </w:rPr>
        <w:t>全面推行河长制。</w:t>
      </w:r>
      <w:r>
        <w:rPr>
          <w:rFonts w:hint="default" w:ascii="Times New Roman" w:hAnsi="Times New Roman" w:cs="Times New Roman"/>
        </w:rPr>
        <w:t>按照“节水优先、空间均衡、系统治理、两手发力”治水思路，持续深入推行河长制。巩固“一盘棋”思想，进一步落实联合执法机制，持续强化对各乡（镇）的督促指导，深入推进河</w:t>
      </w:r>
      <w:r>
        <w:rPr>
          <w:rFonts w:hint="default" w:ascii="Times New Roman" w:hAnsi="Times New Roman" w:cs="Times New Roman"/>
          <w:lang w:eastAsia="zh-CN"/>
        </w:rPr>
        <w:t>道</w:t>
      </w:r>
      <w:r>
        <w:rPr>
          <w:rFonts w:hint="default" w:ascii="Times New Roman" w:hAnsi="Times New Roman" w:cs="Times New Roman"/>
        </w:rPr>
        <w:t>“清四乱”专项整治行动常态化规范化，对妨碍河道行洪突出问题清理整治工作再部署跟进，进一步巩固拓展专项整治成效，确保按时完成问题排查整治，形成上下协调、齐抓共管的工作合力。按照年度建设一批、评定一批的原则，有序推进河长制标准化管理县、乡（镇）、村建设。加强河长制信息化建设，加大各部门数据共享及信息报送力度，拓宽社会监督渠道，为河长制决策提供基础支撑。确保河</w:t>
      </w:r>
      <w:r>
        <w:rPr>
          <w:rFonts w:hint="default" w:ascii="Times New Roman" w:hAnsi="Times New Roman" w:cs="Times New Roman"/>
          <w:lang w:eastAsia="zh-CN"/>
        </w:rPr>
        <w:t>流</w:t>
      </w:r>
      <w:r>
        <w:rPr>
          <w:rFonts w:hint="default" w:ascii="Times New Roman" w:hAnsi="Times New Roman" w:cs="Times New Roman"/>
        </w:rPr>
        <w:t>岸线保护率达到自治区管控要求。</w:t>
      </w:r>
    </w:p>
    <w:p>
      <w:pPr>
        <w:ind w:firstLine="568" w:firstLineChars="202"/>
        <w:rPr>
          <w:rFonts w:hint="default" w:ascii="Times New Roman" w:hAnsi="Times New Roman" w:cs="Times New Roman"/>
        </w:rPr>
      </w:pPr>
      <w:r>
        <w:rPr>
          <w:rFonts w:hint="default" w:ascii="Times New Roman" w:hAnsi="Times New Roman" w:cs="Times New Roman"/>
          <w:b/>
          <w:bCs/>
        </w:rPr>
        <w:t>全面推行林长制。</w:t>
      </w:r>
      <w:r>
        <w:rPr>
          <w:rFonts w:hint="default" w:ascii="Times New Roman" w:hAnsi="Times New Roman" w:cs="Times New Roman"/>
        </w:rPr>
        <w:t>贯彻落实《桂林市全面推行林长制实施方案》(桂林长办字〔2023〕17号)、《兴安县全面推行林长制工作实施方案》（兴政办〔2019〕38号）《兴安县全面推行林长制工作实施方案》（办发〔2021〕25号），全面推行林长制，充分发挥林长制抓手作用，全面压实各级党委、政府森林资源保护发展责任。构建市、县、乡、村四级林长体系，建立林长年度任务清单制度。编制落实林地保护利用规划。加强公益林管护，全面禁止天然林商业性采伐。加强林草种质资源、古树名木、野生动植物等森林资源保护，定期开展森林资源专项整治行动。加强森林草原资源监测监管，完善我县森林草原资源“一张图”、“一套数”动态监测体系。加强重点生态功能区、生态敏感脆弱区森林草原资源保护和修复。</w:t>
      </w:r>
    </w:p>
    <w:p>
      <w:pPr>
        <w:ind w:firstLine="568" w:firstLineChars="202"/>
        <w:rPr>
          <w:rFonts w:hint="default" w:ascii="Times New Roman" w:hAnsi="Times New Roman" w:cs="Times New Roman"/>
        </w:rPr>
      </w:pPr>
      <w:r>
        <w:rPr>
          <w:rFonts w:hint="default" w:ascii="Times New Roman" w:hAnsi="Times New Roman" w:cs="Times New Roman"/>
          <w:b/>
          <w:bCs/>
        </w:rPr>
        <w:t>全面推行田长制。</w:t>
      </w:r>
      <w:r>
        <w:rPr>
          <w:rFonts w:hint="default" w:ascii="Times New Roman" w:hAnsi="Times New Roman" w:cs="Times New Roman"/>
        </w:rPr>
        <w:t>贯彻落实《桂林市耕地保护田长制实施方案》（办发〔2021〕39号）、《兴安县耕地保护田长制实施方案》（办发〔2022〕3号），在全县全面推行耕地保护田长制，实行最严格的耕地保护制度，进一步压实各乡（镇）党委、政府保护耕地的主体责任。建立永久基本农田数据库。在国土空间规划中统筹划定永久基本农田，强化永久基本农田对各类建设布局的约束，并落实到地块，完善永久基本农田保护标识。实行村级全覆盖的耕地保护网格化监管，加强巡查检查行政村耕地“非农化”、“非粮化”和破坏耕地情况，确保每一寸农田“有人看、有人管、有人护”。加大高标准农田建设和土地综合整治力度，提升农田生产能力和生态功能。科学引导农田利用，杜绝耕地撂荒，坚决止住新增问题，积极消化存量问题。</w:t>
      </w:r>
    </w:p>
    <w:p>
      <w:pPr>
        <w:ind w:firstLine="562"/>
        <w:outlineLvl w:val="2"/>
        <w:rPr>
          <w:rFonts w:hint="default" w:ascii="黑体" w:hAnsi="黑体" w:eastAsia="黑体" w:cs="黑体"/>
          <w:b w:val="0"/>
          <w:bCs w:val="0"/>
          <w:sz w:val="28"/>
          <w:szCs w:val="28"/>
        </w:rPr>
      </w:pPr>
      <w:bookmarkStart w:id="48" w:name="_Toc151734547"/>
      <w:r>
        <w:rPr>
          <w:rFonts w:hint="default" w:ascii="黑体" w:hAnsi="黑体" w:eastAsia="黑体" w:cs="黑体"/>
          <w:b w:val="0"/>
          <w:bCs w:val="0"/>
          <w:sz w:val="28"/>
          <w:szCs w:val="28"/>
        </w:rPr>
        <w:t>五、完善生态环境保护责任制度</w:t>
      </w:r>
      <w:bookmarkEnd w:id="48"/>
    </w:p>
    <w:p>
      <w:pPr>
        <w:ind w:firstLine="568" w:firstLineChars="202"/>
        <w:rPr>
          <w:rFonts w:hint="default" w:ascii="Times New Roman" w:hAnsi="Times New Roman" w:cs="Times New Roman"/>
        </w:rPr>
      </w:pPr>
      <w:r>
        <w:rPr>
          <w:rFonts w:hint="default" w:ascii="Times New Roman" w:hAnsi="Times New Roman" w:cs="Times New Roman"/>
          <w:b/>
          <w:bCs/>
        </w:rPr>
        <w:t>完善生态文明建设党政实绩考核机制。</w:t>
      </w:r>
      <w:r>
        <w:rPr>
          <w:rFonts w:hint="default" w:ascii="Times New Roman" w:hAnsi="Times New Roman" w:cs="Times New Roman"/>
        </w:rPr>
        <w:t>加大生态文明建设考核力度，探索推进生态文明建设实绩考核办法，突出将绿色发展和生态文明建设作为党政领导干部政绩考核的重要内容，形成绿色考核机制。强化结果运用，通过绩效考核、年度考核、任期考核等多维度的考核方式，将党政领导干部推进落实生态文明建设情况运用到日常管理监督、干部选拔任用等工作中，作为领导班子和领导干部综合考核评价、奖惩任免的重要参考。督促各级党政领导干部履行环境保护党政同责、一岗双责，改善环境质量，加快推进生态文明建设，从组织上保障对生态文明建设的领导。确保生态文明建设工作占党政实绩考核的比例保持在20%以上。</w:t>
      </w:r>
    </w:p>
    <w:p>
      <w:pPr>
        <w:ind w:firstLine="568" w:firstLineChars="202"/>
        <w:rPr>
          <w:rFonts w:hint="default" w:ascii="Times New Roman" w:hAnsi="Times New Roman" w:cs="Times New Roman"/>
        </w:rPr>
      </w:pPr>
      <w:r>
        <w:rPr>
          <w:rFonts w:hint="default" w:ascii="Times New Roman" w:hAnsi="Times New Roman" w:cs="Times New Roman"/>
          <w:b/>
          <w:bCs/>
        </w:rPr>
        <w:t>严格落实生态环境损害责任追究。</w:t>
      </w:r>
      <w:r>
        <w:rPr>
          <w:rFonts w:hint="default" w:ascii="Times New Roman" w:hAnsi="Times New Roman" w:cs="Times New Roman"/>
        </w:rPr>
        <w:t>严格贯彻落实《党政领导干部生态环境损害责任追究办法（试行）》，科学精准开展生态环境保护领域执纪执法，以自然资源、大气、地表水等生态环境为重点领域，以不履行或者不正确履行职责造成环境污染、生态破坏所应承担的党内责任和政纪责任为追责依据，科学界定领导干部应承担的相应责任，严肃惩治生态环境保护领域存在的以权谋私、权钱交易等腐败问题，对违背科学发展要求、造成生态环境和资源严重破坏的责任人予以追责问责，并将党政领导干部生态环境损害责任追究的结果运用于干部管理监督体系，作为领导干部考核、任免、奖惩的重要依据。</w:t>
      </w:r>
    </w:p>
    <w:p>
      <w:pPr>
        <w:ind w:firstLine="568" w:firstLineChars="202"/>
        <w:rPr>
          <w:rFonts w:hint="default" w:ascii="Times New Roman" w:hAnsi="Times New Roman" w:cs="Times New Roman"/>
        </w:rPr>
      </w:pPr>
      <w:r>
        <w:rPr>
          <w:rFonts w:hint="default" w:ascii="Times New Roman" w:hAnsi="Times New Roman" w:cs="Times New Roman"/>
          <w:b/>
          <w:bCs/>
        </w:rPr>
        <w:t>健全领导干部自然资源资产离任审计制度。</w:t>
      </w:r>
      <w:r>
        <w:rPr>
          <w:rFonts w:hint="default" w:ascii="Times New Roman" w:hAnsi="Times New Roman" w:cs="Times New Roman"/>
        </w:rPr>
        <w:t>构建科学、完善、规范的领导干部自然资源资产离任审计制度，把开展领导干部自然资源资产离任（任中）审计作为推动全县生态文明建设的重点工作，在项目谋划实施和资源力量配置方面给予大力支持。推动将自然资源资产离任审计与自然资源资产管理、生态环境保护等工作一体谋划、一体部署、一体推进。持续推进乡（镇）党政领导干部自然资源资产离任（任中）审计常态化，积极探索具有自然资源和生态环境保护职能的单位领导干部自然资源资产离任（任中）审计。健全生态司法、自然资源执法与领导干部自然资源资产离任审计工作协调联动机制。持续推进自然资源资产审计分析平台建设，进一步提升兴安县自然资源资产审计大数据应用水平。</w:t>
      </w:r>
    </w:p>
    <w:p>
      <w:pPr>
        <w:ind w:firstLine="568" w:firstLineChars="202"/>
        <w:rPr>
          <w:rFonts w:hint="default" w:ascii="Times New Roman" w:hAnsi="Times New Roman" w:cs="Times New Roman"/>
        </w:rPr>
      </w:pPr>
      <w:r>
        <w:rPr>
          <w:rFonts w:hint="default" w:ascii="Times New Roman" w:hAnsi="Times New Roman" w:cs="Times New Roman"/>
          <w:b/>
          <w:bCs/>
        </w:rPr>
        <w:t>严格实施生态环境损害赔偿制度。</w:t>
      </w:r>
      <w:r>
        <w:rPr>
          <w:rFonts w:hint="default" w:ascii="Times New Roman" w:hAnsi="Times New Roman" w:cs="Times New Roman"/>
        </w:rPr>
        <w:t>严格落实生态环境损害赔偿相关制度，进一步明确生态环境损害赔偿范围、责任主体、索赔主体、损害赔偿解决途径等，形成相应的鉴定评估管理和技术体系、资金保障和运行机制，落实损害担责原则，逐步完善全县生态环境损害赔偿和修复制度体系。认真挖掘符合《广西壮族自治区生态环境损害赔偿制度改革实施方案》</w:t>
      </w:r>
      <w:r>
        <w:rPr>
          <w:rFonts w:hint="default" w:ascii="Times New Roman" w:hAnsi="Times New Roman" w:cs="Times New Roman"/>
          <w:lang w:eastAsia="zh-CN"/>
        </w:rPr>
        <w:t>（桂办发〔</w:t>
      </w:r>
      <w:r>
        <w:rPr>
          <w:rFonts w:hint="default" w:ascii="Times New Roman" w:hAnsi="Times New Roman" w:cs="Times New Roman"/>
          <w:lang w:val="en-US" w:eastAsia="zh-CN"/>
        </w:rPr>
        <w:t>2018</w:t>
      </w:r>
      <w:r>
        <w:rPr>
          <w:rFonts w:hint="default" w:ascii="Times New Roman" w:hAnsi="Times New Roman" w:cs="Times New Roman"/>
          <w:lang w:eastAsia="zh-CN"/>
        </w:rPr>
        <w:t>〕</w:t>
      </w:r>
      <w:r>
        <w:rPr>
          <w:rFonts w:hint="default" w:ascii="Times New Roman" w:hAnsi="Times New Roman" w:cs="Times New Roman"/>
          <w:lang w:val="en-US" w:eastAsia="zh-CN"/>
        </w:rPr>
        <w:t>27号）</w:t>
      </w:r>
      <w:r>
        <w:rPr>
          <w:rFonts w:hint="default" w:ascii="Times New Roman" w:hAnsi="Times New Roman" w:cs="Times New Roman"/>
        </w:rPr>
        <w:t>规定生态环境损害赔偿情形的案源，做到发现一起启动一起，切实落实“环境有价，损害担责”的理念。加强生态环境修复与损害赔偿的执行和监督，切实提高破坏生态环境违法成本。加快推进生态环境损害鉴定评估专业力量和队伍建设。</w:t>
      </w:r>
    </w:p>
    <w:p>
      <w:pPr>
        <w:pStyle w:val="20"/>
        <w:rPr>
          <w:rFonts w:hint="default" w:ascii="Times New Roman" w:hAnsi="Times New Roman" w:cs="Times New Roman"/>
          <w:color w:val="auto"/>
        </w:rPr>
      </w:pPr>
    </w:p>
    <w:p>
      <w:pPr>
        <w:ind w:firstLine="0" w:firstLineChars="0"/>
        <w:jc w:val="center"/>
        <w:outlineLvl w:val="1"/>
        <w:rPr>
          <w:rFonts w:hint="eastAsia" w:ascii="黑体" w:hAnsi="黑体" w:eastAsia="黑体" w:cs="黑体"/>
          <w:sz w:val="32"/>
          <w:szCs w:val="24"/>
        </w:rPr>
      </w:pPr>
      <w:bookmarkStart w:id="49" w:name="_Toc151734548"/>
      <w:bookmarkStart w:id="50" w:name="_Toc153528954"/>
      <w:bookmarkStart w:id="51" w:name="_Toc148253486"/>
      <w:r>
        <w:rPr>
          <w:rFonts w:hint="eastAsia" w:ascii="黑体" w:hAnsi="黑体" w:eastAsia="黑体" w:cs="黑体"/>
          <w:sz w:val="32"/>
          <w:szCs w:val="24"/>
        </w:rPr>
        <w:t>第二节 以高水平保护建设天蓝地绿水清美丽兴安</w:t>
      </w:r>
      <w:bookmarkEnd w:id="49"/>
      <w:bookmarkEnd w:id="50"/>
    </w:p>
    <w:bookmarkEnd w:id="51"/>
    <w:p>
      <w:pPr>
        <w:ind w:firstLine="562"/>
        <w:outlineLvl w:val="2"/>
        <w:rPr>
          <w:rFonts w:hint="default" w:ascii="黑体" w:hAnsi="黑体" w:eastAsia="黑体" w:cs="黑体"/>
          <w:b w:val="0"/>
          <w:bCs w:val="0"/>
          <w:sz w:val="28"/>
          <w:szCs w:val="28"/>
        </w:rPr>
      </w:pPr>
      <w:bookmarkStart w:id="52" w:name="_Toc151734549"/>
      <w:r>
        <w:rPr>
          <w:rFonts w:hint="default" w:ascii="黑体" w:hAnsi="黑体" w:eastAsia="黑体" w:cs="黑体"/>
          <w:b w:val="0"/>
          <w:bCs w:val="0"/>
          <w:sz w:val="28"/>
          <w:szCs w:val="28"/>
        </w:rPr>
        <w:t>一、积极应对气候变化</w:t>
      </w:r>
      <w:bookmarkEnd w:id="52"/>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（一）扎实推进碳达峰行动</w:t>
      </w:r>
    </w:p>
    <w:p>
      <w:pPr>
        <w:ind w:firstLine="560"/>
        <w:rPr>
          <w:rFonts w:hint="default" w:ascii="Times New Roman" w:hAnsi="Times New Roman" w:cs="Times New Roman"/>
        </w:rPr>
      </w:pPr>
      <w:r>
        <w:rPr>
          <w:rFonts w:hint="default" w:ascii="Times New Roman" w:hAnsi="Times New Roman" w:cs="Times New Roman"/>
        </w:rPr>
        <w:t>按照国家、自治区和桂林市关于温室气体排放控制、碳达峰、碳中和的总体部署，把碳达峰、碳中和纳入经济社会发展和生态文明建设整体布局，扎实推进碳达峰十大行动，调整优化产业结构，构建清洁低碳安全高效能源体系。开展二氧化碳排放总量控制，严格管控重点领域二氧化碳排放，加强甲烷等非二氧化碳温室气体排放管控，强化温室气体排放控制，提升应对气候变化能力。持续巩固山水林田湖草生态系统碳汇，提升生态系统碳汇增量。根据桂林市生态环境局的要求，明确兴安县的二氧化碳排放的达峰目标年。同时将达峰的目标分解到水泥、建材和化工等重点行业，通过分阶段、分领域地推进二氧化碳排放达峰行动。</w:t>
      </w:r>
    </w:p>
    <w:p>
      <w:pPr>
        <w:ind w:firstLine="562"/>
        <w:outlineLvl w:val="3"/>
        <w:rPr>
          <w:rFonts w:hint="default" w:ascii="楷体_GB2312" w:hAnsi="楷体_GB2312" w:eastAsia="楷体_GB2312" w:cs="楷体_GB2312"/>
          <w:b w:val="0"/>
          <w:bCs w:val="0"/>
          <w:szCs w:val="28"/>
        </w:rPr>
      </w:pPr>
      <w:bookmarkStart w:id="53" w:name="_Toc119507234"/>
      <w:r>
        <w:rPr>
          <w:rFonts w:hint="default" w:ascii="楷体_GB2312" w:hAnsi="楷体_GB2312" w:eastAsia="楷体_GB2312" w:cs="楷体_GB2312"/>
          <w:b w:val="0"/>
          <w:bCs w:val="0"/>
          <w:szCs w:val="28"/>
        </w:rPr>
        <w:t>（二）推动能源清洁低碳发展</w:t>
      </w:r>
    </w:p>
    <w:p>
      <w:pPr>
        <w:ind w:firstLine="562"/>
        <w:rPr>
          <w:rFonts w:hint="default" w:ascii="Times New Roman" w:hAnsi="Times New Roman" w:cs="Times New Roman"/>
        </w:rPr>
      </w:pPr>
      <w:r>
        <w:rPr>
          <w:rFonts w:hint="default" w:ascii="Times New Roman" w:hAnsi="Times New Roman" w:cs="Times New Roman"/>
          <w:b/>
          <w:bCs/>
        </w:rPr>
        <w:t>大力推进煤炭减量替代，合理控制煤炭消费增长。</w:t>
      </w:r>
      <w:r>
        <w:rPr>
          <w:rFonts w:hint="default" w:ascii="Times New Roman" w:hAnsi="Times New Roman" w:cs="Times New Roman"/>
        </w:rPr>
        <w:t>鼓励电力源网荷储一体化和多能互补发展，推进陆上风电和集中式光伏发电大规模开发。有序推进分布式风电、光伏开发，实施兴安县农村光电微风项目建设。</w:t>
      </w:r>
    </w:p>
    <w:p>
      <w:pPr>
        <w:tabs>
          <w:tab w:val="left" w:pos="760"/>
        </w:tabs>
        <w:ind w:firstLine="562"/>
        <w:rPr>
          <w:rFonts w:hint="default" w:ascii="Times New Roman" w:hAnsi="Times New Roman" w:cs="Times New Roman"/>
        </w:rPr>
      </w:pPr>
      <w:r>
        <w:rPr>
          <w:rFonts w:hint="default" w:ascii="Times New Roman" w:hAnsi="Times New Roman" w:cs="Times New Roman"/>
          <w:b/>
          <w:bCs/>
        </w:rPr>
        <w:t>积极发展风力发电行业，引入风电装备制造企业</w:t>
      </w:r>
      <w:r>
        <w:rPr>
          <w:rFonts w:hint="default" w:ascii="Times New Roman" w:hAnsi="Times New Roman" w:cs="Times New Roman"/>
        </w:rPr>
        <w:t>。以风电成套装备和关键零部件生产为重点，实现风力发电装备的本地化制造，同时积极引入高速齿轮箱、发电机、叶片、塔筒、法兰、轮毂、底盘、主轴、回转支承</w:t>
      </w:r>
      <w:r>
        <w:rPr>
          <w:rFonts w:hint="default" w:ascii="Times New Roman" w:hAnsi="Times New Roman" w:cs="Times New Roman"/>
          <w:spacing w:val="-6"/>
          <w:sz w:val="28"/>
        </w:rPr>
        <w:t>等关键配套件配套企业，完善风力发电行业产业链，做大做强风力发电行业。</w:t>
      </w:r>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（三）控制温室气体的排放</w:t>
      </w:r>
      <w:bookmarkEnd w:id="53"/>
    </w:p>
    <w:p>
      <w:pPr>
        <w:ind w:firstLine="562"/>
        <w:rPr>
          <w:rFonts w:hint="default" w:ascii="Times New Roman" w:hAnsi="Times New Roman" w:cs="Times New Roman"/>
        </w:rPr>
      </w:pPr>
      <w:bookmarkStart w:id="54" w:name="_Toc119507235"/>
      <w:r>
        <w:rPr>
          <w:rFonts w:hint="default" w:ascii="Times New Roman" w:hAnsi="Times New Roman" w:cs="Times New Roman"/>
          <w:b/>
          <w:bCs/>
        </w:rPr>
        <w:t>控制工业领域温室气体排放</w:t>
      </w:r>
      <w:bookmarkEnd w:id="54"/>
      <w:r>
        <w:rPr>
          <w:rFonts w:hint="default" w:ascii="Times New Roman" w:hAnsi="Times New Roman" w:cs="Times New Roman"/>
          <w:b/>
          <w:bCs/>
        </w:rPr>
        <w:t>。</w:t>
      </w:r>
      <w:r>
        <w:rPr>
          <w:rFonts w:hint="default" w:ascii="Times New Roman" w:hAnsi="Times New Roman" w:cs="Times New Roman"/>
        </w:rPr>
        <w:t>坚决遏制高耗能高排放项目盲目发展。严格执行自治区高耗能、高排放、低水平（以下统称“两高一低”）项目准入标准，新建、改建、扩建“两高一低”项目要严格落实法律法规、发展规划、产业政策、总量控制目标、技术政策、准入标准、“三线一单”、环境影响评价、节能审查以及煤炭消费减量替代、主要污染物区域削减等要求。加快调整优化产业结构，严格控制高耗能产业过快增长。加强能耗、环保等指标约束作用，探索利用强制性物耗标准、清洁生产水平作为落后产能界定依据，加大淘汰落后产能力度。大力发展循环经济，推进工业清洁生产。制定化工、建材和火电等高耗能行业的入行标准，加强能耗管理。</w:t>
      </w:r>
    </w:p>
    <w:p>
      <w:pPr>
        <w:ind w:firstLine="562"/>
        <w:rPr>
          <w:rFonts w:hint="default" w:ascii="Times New Roman" w:hAnsi="Times New Roman" w:cs="Times New Roman"/>
        </w:rPr>
      </w:pPr>
      <w:bookmarkStart w:id="55" w:name="_Toc119507236"/>
      <w:r>
        <w:rPr>
          <w:rFonts w:hint="default" w:ascii="Times New Roman" w:hAnsi="Times New Roman" w:cs="Times New Roman"/>
          <w:b/>
          <w:bCs/>
        </w:rPr>
        <w:t>控制交通领域温室气体排放</w:t>
      </w:r>
      <w:bookmarkEnd w:id="55"/>
      <w:r>
        <w:rPr>
          <w:rFonts w:hint="default" w:ascii="Times New Roman" w:hAnsi="Times New Roman" w:cs="Times New Roman"/>
          <w:b/>
          <w:bCs/>
        </w:rPr>
        <w:t>。</w:t>
      </w:r>
      <w:r>
        <w:rPr>
          <w:rFonts w:hint="default" w:ascii="Times New Roman" w:hAnsi="Times New Roman" w:cs="Times New Roman"/>
        </w:rPr>
        <w:t>加快发展县城公共交通系统的建立，出台政策鼓励公共集团、客货运输等领域新购买的车辆优先考虑为新能源或清洁能源车，构建低碳的交通运输体系。鼓励利用“互联网+”提升交通运输系统运行效率和运输装备能效利用水平。通过补偿等政策加快淘汰高排放超年限工程机械和农业机械。推广高效节能汽油机和柴油机，鼓励使用新能源、混合动力、天然气等节能环保车。</w:t>
      </w:r>
    </w:p>
    <w:p>
      <w:pPr>
        <w:ind w:firstLine="562"/>
        <w:rPr>
          <w:rFonts w:hint="default" w:ascii="Times New Roman" w:hAnsi="Times New Roman" w:cs="Times New Roman"/>
        </w:rPr>
      </w:pPr>
      <w:bookmarkStart w:id="56" w:name="_Toc119507237"/>
      <w:r>
        <w:rPr>
          <w:rFonts w:hint="default" w:ascii="Times New Roman" w:hAnsi="Times New Roman" w:cs="Times New Roman"/>
          <w:b/>
          <w:bCs/>
        </w:rPr>
        <w:t>控制建筑领域温室气体排放</w:t>
      </w:r>
      <w:bookmarkEnd w:id="56"/>
      <w:r>
        <w:rPr>
          <w:rFonts w:hint="default" w:ascii="Times New Roman" w:hAnsi="Times New Roman" w:cs="Times New Roman"/>
          <w:b/>
          <w:bCs/>
        </w:rPr>
        <w:t>。</w:t>
      </w:r>
      <w:r>
        <w:rPr>
          <w:rFonts w:hint="default" w:ascii="Times New Roman" w:hAnsi="Times New Roman" w:cs="Times New Roman"/>
        </w:rPr>
        <w:t>根据《桂林市绿色建筑创建行动方案》，多角度建立健全绿色建筑保障体系，扎实保障绿色建筑快速稳定发展，切实保障绿色建筑的创建目标和重点任务顺利完成。强化既有建筑节能管理，实施既有公共建筑节能改造。推进可再生能源建筑一体化应用规模化发展，</w:t>
      </w:r>
      <w:r>
        <w:rPr>
          <w:rFonts w:hint="default" w:ascii="Times New Roman" w:hAnsi="Times New Roman" w:cs="Times New Roman"/>
          <w:spacing w:val="6"/>
          <w:sz w:val="28"/>
        </w:rPr>
        <w:t>开展村镇居民屋顶光伏发电、太阳能路灯工程应用示范，推广应用绿色建材。</w:t>
      </w:r>
    </w:p>
    <w:p>
      <w:pPr>
        <w:ind w:firstLine="562"/>
        <w:rPr>
          <w:rFonts w:hint="default" w:ascii="Times New Roman" w:hAnsi="Times New Roman" w:cs="Times New Roman"/>
        </w:rPr>
      </w:pPr>
      <w:bookmarkStart w:id="57" w:name="_Toc119507238"/>
      <w:r>
        <w:rPr>
          <w:rFonts w:hint="default" w:ascii="Times New Roman" w:hAnsi="Times New Roman" w:cs="Times New Roman"/>
          <w:b/>
          <w:bCs/>
        </w:rPr>
        <w:t>控制农业领域碳排放</w:t>
      </w:r>
      <w:bookmarkEnd w:id="57"/>
      <w:r>
        <w:rPr>
          <w:rFonts w:hint="default" w:ascii="Times New Roman" w:hAnsi="Times New Roman" w:cs="Times New Roman"/>
          <w:b/>
          <w:bCs/>
        </w:rPr>
        <w:t>。</w:t>
      </w:r>
      <w:r>
        <w:rPr>
          <w:rFonts w:hint="default" w:ascii="Times New Roman" w:hAnsi="Times New Roman" w:cs="Times New Roman"/>
        </w:rPr>
        <w:t>积极发展现代农业、循环农业、绿色有机农业。以兴安镇为核心，通过发展壮大龙头企业，加快培育专业化服务组织，推进高山蔬菜高效节水灌溉示范，大力推广节肥节药节水技术。以兴安镇、界首镇、溶江镇、湘漓镇、高尚镇等镇为主，加快养殖规模化、产业化、生态化发展，控制畜禽温室气体排放。</w:t>
      </w:r>
    </w:p>
    <w:p>
      <w:pPr>
        <w:ind w:firstLine="562"/>
        <w:rPr>
          <w:rFonts w:hint="default" w:ascii="Times New Roman" w:hAnsi="Times New Roman" w:cs="Times New Roman"/>
        </w:rPr>
      </w:pPr>
      <w:bookmarkStart w:id="58" w:name="_Toc119507239"/>
      <w:r>
        <w:rPr>
          <w:rFonts w:hint="default" w:ascii="Times New Roman" w:hAnsi="Times New Roman" w:cs="Times New Roman"/>
          <w:b/>
          <w:bCs/>
        </w:rPr>
        <w:t>增加生态系统碳汇</w:t>
      </w:r>
      <w:bookmarkEnd w:id="58"/>
      <w:r>
        <w:rPr>
          <w:rFonts w:hint="default" w:ascii="Times New Roman" w:hAnsi="Times New Roman" w:cs="Times New Roman"/>
          <w:b/>
          <w:bCs/>
        </w:rPr>
        <w:t>。</w:t>
      </w:r>
      <w:r>
        <w:rPr>
          <w:rFonts w:hint="default" w:ascii="Times New Roman" w:hAnsi="Times New Roman" w:cs="Times New Roman"/>
        </w:rPr>
        <w:t>继续强化森林覆盖率高、负氧离子高的生态优势。科学调整林种结构，确保森林质量。强化林政管理，严守林业生态红线，完善保护制度，严厉打击非法占用林地和乱砍滥伐林木行为。推进天然林、水源林保护和生态公益林建设，增加森林面积和蓄积量，积极营造水土保护林和水源涵养林，进一步提高漓江、湘江上游的水源涵养能力，到2025年，森林覆盖率与2020年相比有增无减。通过增加森林总量，增强兴安县碳汇能力。</w:t>
      </w:r>
    </w:p>
    <w:p>
      <w:pPr>
        <w:ind w:firstLine="562"/>
        <w:outlineLvl w:val="2"/>
        <w:rPr>
          <w:rFonts w:hint="default" w:ascii="黑体" w:hAnsi="黑体" w:eastAsia="黑体" w:cs="黑体"/>
          <w:b w:val="0"/>
          <w:bCs w:val="0"/>
          <w:sz w:val="28"/>
          <w:szCs w:val="28"/>
        </w:rPr>
      </w:pPr>
      <w:bookmarkStart w:id="59" w:name="_Toc151734550"/>
      <w:r>
        <w:rPr>
          <w:rFonts w:hint="default" w:ascii="黑体" w:hAnsi="黑体" w:eastAsia="黑体" w:cs="黑体"/>
          <w:b w:val="0"/>
          <w:bCs w:val="0"/>
          <w:sz w:val="28"/>
          <w:szCs w:val="28"/>
        </w:rPr>
        <w:t>二、深入打好蓝天保卫战</w:t>
      </w:r>
      <w:bookmarkEnd w:id="59"/>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（一）推动空气质量稳定达标</w:t>
      </w:r>
    </w:p>
    <w:p>
      <w:pPr>
        <w:ind w:firstLine="560"/>
        <w:rPr>
          <w:rFonts w:hint="default" w:ascii="Times New Roman" w:hAnsi="Times New Roman" w:cs="Times New Roman"/>
        </w:rPr>
      </w:pPr>
      <w:r>
        <w:rPr>
          <w:rFonts w:hint="default" w:ascii="Times New Roman" w:hAnsi="Times New Roman" w:cs="Times New Roman"/>
        </w:rPr>
        <w:t>以提升环境质量为核心，根据兴安县的气候特点，产业结构和大气污染物的主要类型，实行差异化精细化协同管控，有效推动城市细颗粒物浓度下降并稳定达到二级标准。加强与全州县、灵川县等周边县城的沟通协调，加强县城之间大气污染联防联控及重污染应急预警联动，共同推进桂林市大气污染的联合防控。聚焦秋冬季细颗粒物污染，加大重点区域、重点行业结构调整和污染治理力度，实施重点行业企业绩效分级管理。</w:t>
      </w:r>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（二）着力打好臭氧污染防治攻坚战</w:t>
      </w:r>
    </w:p>
    <w:p>
      <w:pPr>
        <w:ind w:firstLine="560"/>
        <w:rPr>
          <w:rFonts w:hint="default" w:ascii="Times New Roman" w:hAnsi="Times New Roman" w:cs="Times New Roman"/>
        </w:rPr>
      </w:pPr>
      <w:r>
        <w:rPr>
          <w:rFonts w:hint="default" w:ascii="Times New Roman" w:hAnsi="Times New Roman" w:cs="Times New Roman"/>
        </w:rPr>
        <w:t>加强对兴安县及周边地区臭氧区域传输通道和敏感区识别。配合桂林市科学制定NO</w:t>
      </w:r>
      <w:r>
        <w:rPr>
          <w:rFonts w:hint="default" w:ascii="Times New Roman" w:hAnsi="Times New Roman" w:cs="Times New Roman"/>
          <w:vertAlign w:val="subscript"/>
        </w:rPr>
        <w:t>x</w:t>
      </w:r>
      <w:r>
        <w:rPr>
          <w:rFonts w:hint="default" w:ascii="Times New Roman" w:hAnsi="Times New Roman" w:cs="Times New Roman"/>
        </w:rPr>
        <w:t>和VOCs协同减排动态调控方案，完善污染减排清单，加强分时分区分类精细化协同管控。深入推进实施重点行业企业VOCs综合整治。动态更新重点行业企业VOCs排放清单，准确掌握兴安县重点行业企业VOCs排放总量实际变化情况；加快实施VOCs排放行业的源头减排、过程控制和末端治理，落实重点监管企业“一企一策”综合治理。积极推动VOCs排放重点行业企业向园区集中，开展重点行业的VOCs废气治理，对产生挥发性有机气体的重点工业企业进行在线监控。把VOCs污染控制作为建设项目环境影响评价的重要内容，新、改、扩建项目排放VOCs的车间有机废气收集率应大于90%。</w:t>
      </w:r>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（三）推进工业源污染防治</w:t>
      </w:r>
    </w:p>
    <w:p>
      <w:pPr>
        <w:ind w:firstLine="560"/>
        <w:rPr>
          <w:rFonts w:hint="default" w:ascii="Times New Roman" w:hAnsi="Times New Roman" w:cs="Times New Roman"/>
        </w:rPr>
      </w:pPr>
      <w:r>
        <w:rPr>
          <w:rFonts w:hint="default" w:ascii="Times New Roman" w:hAnsi="Times New Roman" w:cs="Times New Roman"/>
        </w:rPr>
        <w:t>加强水泥、建材、化工、冶炼等重点排污企业的监督，开展建材、有色金属冶炼、水泥等行业国控、市控重点工业企业自动监测数据及监督性监测数据核定；实施冶炼、建材、水泥等重点行业二氧化硫、氮氧化物、烟尘总量控制，大力开展工业排放颗粒物污染防治，使用工业锅炉的企业以及水泥厂除尘设施升级改造为高效除尘技术除尘，对水泥粉磨站、特种水泥生产企业开展粉尘面源污染专项治理。严格控制新建燃煤锅炉，巩固10蒸吨/小时及以下燃煤小锅炉淘汰工作成效，对65蒸吨及以上燃煤和生物质锅炉实施超低排放改造。</w:t>
      </w:r>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（四）全面推进移动源污染防治</w:t>
      </w:r>
    </w:p>
    <w:p>
      <w:pPr>
        <w:ind w:firstLine="562"/>
        <w:rPr>
          <w:rFonts w:hint="default" w:ascii="Times New Roman" w:hAnsi="Times New Roman" w:cs="Times New Roman"/>
        </w:rPr>
      </w:pPr>
      <w:r>
        <w:rPr>
          <w:rFonts w:hint="default" w:ascii="Times New Roman" w:hAnsi="Times New Roman" w:cs="Times New Roman"/>
          <w:b/>
          <w:bCs/>
        </w:rPr>
        <w:t>实施更加严格的车用汽油质量标准。</w:t>
      </w:r>
      <w:r>
        <w:rPr>
          <w:rFonts w:hint="default" w:ascii="Times New Roman" w:hAnsi="Times New Roman" w:cs="Times New Roman"/>
        </w:rPr>
        <w:t>深入实施清洁柴油车（机）行动，基本淘汰国三及以下排放标准汽车，推动氢燃料电池汽车示范应用。启用机动车遥感检测系统及黑烟车抓拍，建立“环保遥感监测+交通、公安路面执法”新模式，从“人防”升级为“技防”。</w:t>
      </w:r>
    </w:p>
    <w:p>
      <w:pPr>
        <w:ind w:firstLine="562"/>
        <w:rPr>
          <w:rFonts w:hint="default" w:ascii="Times New Roman" w:hAnsi="Times New Roman" w:cs="Times New Roman"/>
          <w:bCs/>
          <w:szCs w:val="28"/>
        </w:rPr>
      </w:pPr>
      <w:r>
        <w:rPr>
          <w:rFonts w:hint="default" w:ascii="Times New Roman" w:hAnsi="Times New Roman" w:cs="Times New Roman"/>
          <w:b/>
          <w:szCs w:val="28"/>
        </w:rPr>
        <w:t>提高新能源汽车使用率。</w:t>
      </w:r>
      <w:r>
        <w:rPr>
          <w:rFonts w:hint="default" w:ascii="Times New Roman" w:hAnsi="Times New Roman" w:cs="Times New Roman"/>
        </w:rPr>
        <w:t>大力推广使用新能源汽车,进一步推进城乡公共交通、公务用车电动化进程，不断提高新能源汽车运营比重。</w:t>
      </w:r>
      <w:r>
        <w:rPr>
          <w:rFonts w:hint="default" w:ascii="Times New Roman" w:hAnsi="Times New Roman" w:cs="Times New Roman"/>
          <w:bCs/>
          <w:szCs w:val="28"/>
        </w:rPr>
        <w:t>加快推进建成区新增的公交、环卫、邮政、出租、通勤、轻型物流配送车辆使用新能源或者清洁能源汽车。</w:t>
      </w:r>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（五）积极控制大气面源污染</w:t>
      </w:r>
    </w:p>
    <w:p>
      <w:pPr>
        <w:ind w:firstLine="562"/>
        <w:rPr>
          <w:rFonts w:hint="default" w:ascii="Times New Roman" w:hAnsi="Times New Roman" w:cs="Times New Roman"/>
        </w:rPr>
      </w:pPr>
      <w:r>
        <w:rPr>
          <w:rFonts w:hint="default" w:ascii="Times New Roman" w:hAnsi="Times New Roman" w:cs="Times New Roman"/>
          <w:b/>
          <w:bCs/>
        </w:rPr>
        <w:t>加强扬尘管理。</w:t>
      </w:r>
      <w:r>
        <w:rPr>
          <w:rFonts w:hint="default" w:ascii="Times New Roman" w:hAnsi="Times New Roman" w:cs="Times New Roman"/>
        </w:rPr>
        <w:t>强化施工、道路、堆场、裸露地面等扬尘管控，加强城市保洁和清扫，推进防尘设施建设。全面推行绿色施工，将绿色施工纳入企业资质评价、信用评价。根据《桂林市建筑石料用采石场建设和生产运营管理暂行规定》</w:t>
      </w:r>
      <w:r>
        <w:rPr>
          <w:rFonts w:hint="default" w:ascii="Times New Roman" w:hAnsi="Times New Roman" w:cs="Times New Roman"/>
          <w:lang w:eastAsia="zh-CN"/>
        </w:rPr>
        <w:t>（</w:t>
      </w:r>
      <w:r>
        <w:rPr>
          <w:rFonts w:hint="default" w:ascii="Times New Roman" w:hAnsi="Times New Roman" w:cs="Times New Roman"/>
        </w:rPr>
        <w:t>市政规〔2017〕3号</w:t>
      </w:r>
      <w:r>
        <w:rPr>
          <w:rFonts w:hint="default" w:ascii="Times New Roman" w:hAnsi="Times New Roman" w:cs="Times New Roman"/>
          <w:lang w:eastAsia="zh-CN"/>
        </w:rPr>
        <w:t>）</w:t>
      </w:r>
      <w:r>
        <w:rPr>
          <w:rFonts w:hint="default" w:ascii="Times New Roman" w:hAnsi="Times New Roman" w:cs="Times New Roman"/>
        </w:rPr>
        <w:t>要求，严格执行环境影响评价制度、环保“三同时”制度，认真落实各项污染防治措施。</w:t>
      </w:r>
    </w:p>
    <w:p>
      <w:pPr>
        <w:ind w:firstLine="562"/>
        <w:rPr>
          <w:rFonts w:hint="default" w:ascii="Times New Roman" w:hAnsi="Times New Roman" w:cs="Times New Roman"/>
          <w:bCs/>
          <w:szCs w:val="28"/>
        </w:rPr>
      </w:pPr>
      <w:r>
        <w:rPr>
          <w:rFonts w:hint="default" w:ascii="Times New Roman" w:hAnsi="Times New Roman" w:cs="Times New Roman"/>
          <w:b/>
          <w:bCs/>
        </w:rPr>
        <w:t>严格管控秸秆露天焚烧。</w:t>
      </w:r>
      <w:r>
        <w:rPr>
          <w:rFonts w:hint="default" w:ascii="Times New Roman" w:hAnsi="Times New Roman" w:cs="Times New Roman"/>
        </w:rPr>
        <w:t>建立常态化联合巡查执法机制，加强县城建成区及各乡（镇）划定禁、限烧区域等重点区域秸秆、垃圾等生物质露天焚烧监管。鼓励对农作物秸秆进行饲料化和秸秆还田等综合利用。在部分乡（镇）建立中小型沼气池，以此用于秸秆等垃圾的无害化处理。</w:t>
      </w:r>
      <w:r>
        <w:rPr>
          <w:rFonts w:hint="default" w:ascii="Times New Roman" w:hAnsi="Times New Roman" w:cs="Times New Roman"/>
          <w:bCs/>
          <w:szCs w:val="28"/>
        </w:rPr>
        <w:t>到2025年，秸秆综合利用率维持90%以上。</w:t>
      </w:r>
    </w:p>
    <w:p>
      <w:pPr>
        <w:ind w:firstLine="562"/>
        <w:rPr>
          <w:rFonts w:hint="default" w:ascii="Times New Roman" w:hAnsi="Times New Roman" w:cs="Times New Roman"/>
          <w:bCs/>
          <w:szCs w:val="28"/>
        </w:rPr>
      </w:pPr>
      <w:r>
        <w:rPr>
          <w:rFonts w:hint="default" w:ascii="Times New Roman" w:hAnsi="Times New Roman" w:cs="Times New Roman"/>
          <w:b/>
          <w:bCs/>
        </w:rPr>
        <w:t>减少餐饮油烟的排放和控制烟花爆竹。</w:t>
      </w:r>
      <w:r>
        <w:rPr>
          <w:rFonts w:hint="default" w:ascii="Times New Roman" w:hAnsi="Times New Roman" w:cs="Times New Roman"/>
          <w:bCs/>
          <w:szCs w:val="28"/>
        </w:rPr>
        <w:t>加快推进建成区内现有餐饮经营场所全面完成清洁能源改造并安装高效油烟净化设施。新建餐饮项目要严格按照《饮食业油烟排放标准(GB18483—2001)》。强化县城烟花爆竹禁限燃放管理，强化生产、运输、销售等源头管控，对违规燃放烟花爆竹行为依法进行处罚。</w:t>
      </w:r>
    </w:p>
    <w:p>
      <w:pPr>
        <w:ind w:firstLine="562"/>
        <w:outlineLvl w:val="2"/>
        <w:rPr>
          <w:rFonts w:hint="default" w:ascii="黑体" w:hAnsi="黑体" w:eastAsia="黑体" w:cs="黑体"/>
          <w:b w:val="0"/>
          <w:bCs w:val="0"/>
          <w:sz w:val="28"/>
          <w:szCs w:val="28"/>
        </w:rPr>
      </w:pPr>
      <w:bookmarkStart w:id="60" w:name="_Toc151734551"/>
      <w:r>
        <w:rPr>
          <w:rFonts w:hint="default" w:ascii="黑体" w:hAnsi="黑体" w:eastAsia="黑体" w:cs="黑体"/>
          <w:b w:val="0"/>
          <w:bCs w:val="0"/>
          <w:sz w:val="28"/>
          <w:szCs w:val="28"/>
        </w:rPr>
        <w:t>三、深入打好碧水保卫战</w:t>
      </w:r>
      <w:bookmarkEnd w:id="60"/>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（一）持续打好城乡黑臭水体治理攻坚战</w:t>
      </w:r>
    </w:p>
    <w:p>
      <w:pPr>
        <w:ind w:firstLine="560"/>
        <w:rPr>
          <w:rFonts w:hint="default" w:ascii="Times New Roman" w:hAnsi="Times New Roman" w:cs="Times New Roman"/>
        </w:rPr>
      </w:pPr>
      <w:r>
        <w:rPr>
          <w:rFonts w:hint="default" w:ascii="Times New Roman" w:hAnsi="Times New Roman" w:cs="Times New Roman"/>
        </w:rPr>
        <w:t>充分发挥河（湖）长制作用，统筹开展湘江、漓江水体内源污染治理和生态修复，增强河湖自净功能。加快水网建设，巩固提升水安全保障水平，加快推进上桂峡水库扩容、兴安县古灵渠生态保护与湘漓连通工程等重大水利工程建设。加强水质定期监测和分析，不断完善水质自动监测能力建设。加强农业农村和工业企业污染防治，有效控制入河（湖）污染物排放。加快界首镇、溶江镇、高尚镇、严关镇和华江瑶族乡的配套污水管网等污水处理项目建设，以及崔家乡、漠川乡、白石乡的污水处理厂建设，完善霞云桥片区、城南新区污水管网的建设工作，提升生活污水收集率和处理率。</w:t>
      </w:r>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（二）持续打好漓江、湘江重点流域生态保护治理攻坚战</w:t>
      </w:r>
    </w:p>
    <w:p>
      <w:pPr>
        <w:ind w:firstLine="560"/>
        <w:rPr>
          <w:rFonts w:hint="default" w:ascii="Times New Roman" w:hAnsi="Times New Roman" w:cs="Times New Roman"/>
        </w:rPr>
      </w:pPr>
      <w:r>
        <w:rPr>
          <w:rFonts w:hint="default" w:ascii="Times New Roman" w:hAnsi="Times New Roman" w:cs="Times New Roman"/>
        </w:rPr>
        <w:t>重点保护好漓江、湘江源头，守护好千古灵渠。坚持重点流域保护与城市建设、产业发展、民生改善整体推进，全方位加强水生态环境保护。按照“整体统筹、突出重点、精准施策、系统治理”原则，统筹谋划城镇生活污染治理、工业企业污染治理、城乡面源污染治理、江河综合整治及生态修复等工程项目，制定重点支流整治方案，编修漓江、湘江健康评估报告和“一河一策”报告。深化重点流域精细化治理，强化地下水污染协同防治。健全漓江、湘江重点流域上下游横向生态保护补偿机制。持续开展入河排污口“查、测、溯、治”，加强城镇污水管网建设改造。到2030年，湘江、漓江段生态环境质量持续向好，出境断面水水质达到自治区考核要求。</w:t>
      </w:r>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（三）巩固提升饮用水安全保障水平</w:t>
      </w:r>
    </w:p>
    <w:p>
      <w:pPr>
        <w:ind w:firstLine="560"/>
        <w:rPr>
          <w:rFonts w:hint="default" w:ascii="Times New Roman" w:hAnsi="Times New Roman" w:cs="Times New Roman"/>
        </w:rPr>
      </w:pPr>
      <w:r>
        <w:rPr>
          <w:rFonts w:hint="default" w:ascii="Times New Roman" w:hAnsi="Times New Roman" w:cs="Times New Roman"/>
        </w:rPr>
        <w:t>加强集中式饮用水水源地规范化建设，完善水源地标志及隔离保护设施，强化风险防控，提高应急处置能力。完成千人以上饮用水水源保护区划定，推进乡（镇）级集中式饮用水水源保护区环境问题整治，巩固全县集中式饮用水水源地保护与治理成效，持续开展饮用水水源地保护专项整治和“回头看”。推进县级及以上饮用水水源地自动监测预警能力建设。到2030年，集中式饮用水水源地水质达标率维持100%。</w:t>
      </w:r>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（四）加强农业面源污染防治</w:t>
      </w:r>
    </w:p>
    <w:p>
      <w:pPr>
        <w:ind w:firstLine="560"/>
        <w:rPr>
          <w:rFonts w:hint="default" w:ascii="Times New Roman" w:hAnsi="Times New Roman" w:cs="Times New Roman"/>
        </w:rPr>
      </w:pPr>
      <w:r>
        <w:rPr>
          <w:rFonts w:hint="default" w:ascii="Times New Roman" w:hAnsi="Times New Roman" w:cs="Times New Roman"/>
        </w:rPr>
        <w:t>依托美丽乡村建设，配套建设农民集中居住区微型污水处理设施等环保基础设施。积极探索和推广村屯生活污水小型分散无（微）动力处理模式和资源化综合利用模式，确保农村生活污水治理率达到50%。以恢复农村河道基本功能、修复河道空间形态、改善河道水环境质量与农村人居环境、加快美丽乡村建设为目标，逐步启动农村水系综合整治。防治畜禽养殖污染，推动畜禽规模养殖废弃物资源化利用，现有规模化畜禽养殖场（小区）要配套建设粪便污水贮存、处理、利用设施，散养密集区要实行畜禽粪便污水分户收集、集中处理利用。新建、改建、扩建规模化畜禽养殖场（小区）要实施雨污分流、粪便污水资源化利用。</w:t>
      </w:r>
    </w:p>
    <w:p>
      <w:pPr>
        <w:ind w:firstLine="562"/>
        <w:outlineLvl w:val="2"/>
        <w:rPr>
          <w:rFonts w:hint="default" w:ascii="黑体" w:hAnsi="黑体" w:eastAsia="黑体" w:cs="黑体"/>
          <w:b w:val="0"/>
          <w:bCs w:val="0"/>
          <w:sz w:val="28"/>
          <w:szCs w:val="28"/>
        </w:rPr>
      </w:pPr>
      <w:bookmarkStart w:id="61" w:name="_Toc151734552"/>
      <w:r>
        <w:rPr>
          <w:rFonts w:hint="default" w:ascii="黑体" w:hAnsi="黑体" w:eastAsia="黑体" w:cs="黑体"/>
          <w:b w:val="0"/>
          <w:bCs w:val="0"/>
          <w:sz w:val="28"/>
          <w:szCs w:val="28"/>
        </w:rPr>
        <w:t>四、深入打好净土保卫战</w:t>
      </w:r>
      <w:bookmarkEnd w:id="61"/>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（一）深入推进农用地土壤污染防治和安全利用</w:t>
      </w:r>
    </w:p>
    <w:p>
      <w:pPr>
        <w:ind w:firstLine="562"/>
        <w:rPr>
          <w:rFonts w:hint="default" w:ascii="Times New Roman" w:hAnsi="Times New Roman" w:cs="Times New Roman"/>
        </w:rPr>
      </w:pPr>
      <w:r>
        <w:rPr>
          <w:rFonts w:hint="default" w:ascii="Times New Roman" w:hAnsi="Times New Roman" w:cs="Times New Roman"/>
          <w:b/>
          <w:bCs/>
        </w:rPr>
        <w:t>持续推进受污染耕地安全利用和风险管控</w:t>
      </w:r>
      <w:r>
        <w:rPr>
          <w:rFonts w:hint="default" w:ascii="Times New Roman" w:hAnsi="Times New Roman" w:cs="Times New Roman"/>
        </w:rPr>
        <w:t>。实施农用地土壤镉等重金属污染源头防治行动。严格落实粮食收购和销售出库质量安全检验制度和追溯制度，将镉、铅等重金属列为收购入库和销售出库必检指标。对受污染耕地集中的乡（镇）开展污染溯源，因地制宜制定实施安全利用方案。</w:t>
      </w:r>
    </w:p>
    <w:p>
      <w:pPr>
        <w:ind w:firstLine="562"/>
        <w:rPr>
          <w:rFonts w:hint="default" w:ascii="Times New Roman" w:hAnsi="Times New Roman" w:cs="Times New Roman"/>
        </w:rPr>
      </w:pPr>
      <w:r>
        <w:rPr>
          <w:rFonts w:hint="default" w:ascii="Times New Roman" w:hAnsi="Times New Roman" w:cs="Times New Roman"/>
          <w:b/>
          <w:bCs/>
        </w:rPr>
        <w:t>实施耕地质量保护与提升行动。</w:t>
      </w:r>
      <w:r>
        <w:rPr>
          <w:rFonts w:hint="default" w:ascii="Times New Roman" w:hAnsi="Times New Roman" w:cs="Times New Roman"/>
        </w:rPr>
        <w:t>提升土壤有机质，开展耕地土壤酸化治理。鼓励施用有机肥，种植豆类、绿肥等作物提高土壤肥力。持续推进开展秸秆资源化综合利用。对暂不开发的受污染地块，实施土壤污染风险管控，采取移除或清理污染源，污染隔离、阻断等措施，防止污染扩散。强化风险管控和修复工程监管，重点防止转运污染土壤非法处置，以及农药类等污染地块风险管控和修复过程中产生的二次污染，确保实现风险管控和修复目标。</w:t>
      </w:r>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（二）有效管控建设用地土壤污染风险</w:t>
      </w:r>
    </w:p>
    <w:p>
      <w:pPr>
        <w:ind w:firstLine="560"/>
        <w:rPr>
          <w:rFonts w:hint="default" w:ascii="Times New Roman" w:hAnsi="Times New Roman" w:cs="Times New Roman"/>
        </w:rPr>
      </w:pPr>
      <w:r>
        <w:rPr>
          <w:rFonts w:hint="default" w:ascii="Times New Roman" w:hAnsi="Times New Roman" w:cs="Times New Roman"/>
        </w:rPr>
        <w:t>严格土壤污染源头防控，调整优化涉重金属产业结构和空间布局，加强重点行业污染源监管，重点行业重点重金属污染物排放总量达到国家、自治区、桂林市要求。严格建设用地土壤污染风险管控和修复名录内地块准入管理，定期开展现场检查，依法查处违法开发行为，遏制因疑似污染地块和污染地块再开发利用不当造成不良社会影响事件发生。</w:t>
      </w:r>
    </w:p>
    <w:p>
      <w:pPr>
        <w:ind w:firstLine="562"/>
        <w:outlineLvl w:val="3"/>
        <w:rPr>
          <w:rFonts w:hint="eastAsia" w:ascii="楷体_GB2312" w:hAnsi="楷体_GB2312" w:eastAsia="楷体_GB2312" w:cs="楷体_GB2312"/>
          <w:b w:val="0"/>
          <w:bCs w:val="0"/>
          <w:szCs w:val="28"/>
        </w:rPr>
      </w:pPr>
      <w:r>
        <w:rPr>
          <w:rFonts w:hint="eastAsia" w:ascii="楷体_GB2312" w:hAnsi="楷体_GB2312" w:eastAsia="楷体_GB2312" w:cs="楷体_GB2312"/>
          <w:b w:val="0"/>
          <w:bCs w:val="0"/>
          <w:szCs w:val="28"/>
        </w:rPr>
        <w:t>（三）稳步推进“无废城市”建设</w:t>
      </w:r>
    </w:p>
    <w:p>
      <w:pPr>
        <w:ind w:firstLine="560"/>
        <w:rPr>
          <w:rFonts w:hint="default" w:ascii="Times New Roman" w:hAnsi="Times New Roman" w:cs="Times New Roman"/>
        </w:rPr>
      </w:pPr>
      <w:r>
        <w:rPr>
          <w:rFonts w:hint="default" w:ascii="Times New Roman" w:hAnsi="Times New Roman" w:cs="Times New Roman"/>
        </w:rPr>
        <w:t>强化资源回收和综合利用，大力推进大宗固体废弃物综合利用，推进光伏组件等新型废弃物循环利用。坚持系统规划、绿色引领，构建“无废城市”建设制度体系、技术体系和监管体系，将源头减量化、资源化、高值化利用和最终安全化处置的绿色发展理念贯穿于各领域全流程管理。</w:t>
      </w:r>
    </w:p>
    <w:p>
      <w:pPr>
        <w:ind w:firstLine="562"/>
        <w:outlineLvl w:val="2"/>
        <w:rPr>
          <w:rFonts w:hint="default" w:ascii="黑体" w:hAnsi="黑体" w:eastAsia="黑体" w:cs="黑体"/>
          <w:b w:val="0"/>
          <w:bCs w:val="0"/>
          <w:sz w:val="28"/>
          <w:szCs w:val="28"/>
        </w:rPr>
      </w:pPr>
      <w:bookmarkStart w:id="62" w:name="_Toc151734553"/>
      <w:r>
        <w:rPr>
          <w:rFonts w:hint="default" w:ascii="黑体" w:hAnsi="黑体" w:eastAsia="黑体" w:cs="黑体"/>
          <w:b w:val="0"/>
          <w:bCs w:val="0"/>
          <w:sz w:val="28"/>
          <w:szCs w:val="28"/>
        </w:rPr>
        <w:t>五、实现绿美兴安生态建设</w:t>
      </w:r>
      <w:bookmarkEnd w:id="62"/>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（一）持续提升生态系统质量</w:t>
      </w:r>
    </w:p>
    <w:p>
      <w:pPr>
        <w:ind w:firstLine="560"/>
        <w:rPr>
          <w:rFonts w:hint="default" w:ascii="Times New Roman" w:hAnsi="Times New Roman" w:cs="Times New Roman"/>
        </w:rPr>
      </w:pPr>
      <w:r>
        <w:rPr>
          <w:rFonts w:hint="default" w:ascii="Times New Roman" w:hAnsi="Times New Roman" w:cs="Times New Roman"/>
        </w:rPr>
        <w:t>全面实施“生态立县”战略，积极融入桂林国家可持续发展议程创新示范区建设。统筹推进山水林田湖草一体化保护和修复工程。调整优化人工林结构，增强森林生态系统功能。加大湿地保护和修复力度，加强国家湿地公园保护管理。科学推进岩溶地区石漠综合治理。统筹做好矿产资源利用和保护，积极开展废弃矿山生态修复，全面推进绿色矿山建设。</w:t>
      </w:r>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（二）加强生物多样性保护</w:t>
      </w:r>
    </w:p>
    <w:p>
      <w:pPr>
        <w:ind w:firstLine="560"/>
        <w:rPr>
          <w:rFonts w:hint="default" w:ascii="Times New Roman" w:hAnsi="Times New Roman" w:cs="Times New Roman"/>
        </w:rPr>
      </w:pPr>
      <w:r>
        <w:rPr>
          <w:rFonts w:hint="default" w:ascii="Times New Roman" w:hAnsi="Times New Roman" w:cs="Times New Roman"/>
        </w:rPr>
        <w:t>利用遥感、地理信息系统、全球定位系统技术，结合野外调查、模型模拟等方法，开展生态环境本底综合调查评估。构建生态廊道和生物多样性保护网络，加快建成自然保护地体系。加快推进猫儿山等生物多样性保护优先区域的生物多样性调查、观测、评估，建立物种资源数据库，明确重点保护物种类别，摸清生物多样性家底。推进兴安生物多样性保育与修复工程。加大珍稀濒危野生动植物保护。加强森林防灭火体系和能力建设。加强外来入侵物种管控和病虫害防治。</w:t>
      </w:r>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（三）防控疫源疫病和外来物种入侵</w:t>
      </w:r>
    </w:p>
    <w:p>
      <w:pPr>
        <w:ind w:firstLine="560"/>
        <w:rPr>
          <w:rFonts w:hint="default" w:ascii="Times New Roman" w:hAnsi="Times New Roman" w:cs="Times New Roman"/>
        </w:rPr>
      </w:pPr>
      <w:r>
        <w:rPr>
          <w:rFonts w:hint="default" w:ascii="Times New Roman" w:hAnsi="Times New Roman" w:cs="Times New Roman"/>
        </w:rPr>
        <w:t>借鉴国际国内先进经验，加强兴安全域生物安全管理，完善外来物种监测预警和风险管理，严禁盲目引入外来物种。重点加强野生动物疫源疫病监测，重点开展松材线虫病的防控工作，制定松材线虫病防控方案，加强专业监测队伍建设，强化普查、监测措施，构筑松材线虫病防控体系。定期开展松毛虫、松材线虫、松墨天牛、竹林病虫害等林业有害生物监测调查，全面提高林业有害生物监测预报水平。逐步实现对生物入侵现象的严格管控，逐步消除有害物种入侵现象，确保外来物种入侵不明显、不加剧。加强生物多样性区域合作与交流。</w:t>
      </w:r>
    </w:p>
    <w:p>
      <w:pPr>
        <w:ind w:firstLine="562"/>
        <w:outlineLvl w:val="2"/>
        <w:rPr>
          <w:rFonts w:hint="default" w:ascii="黑体" w:hAnsi="黑体" w:eastAsia="黑体" w:cs="黑体"/>
          <w:b w:val="0"/>
          <w:bCs w:val="0"/>
          <w:sz w:val="28"/>
          <w:szCs w:val="28"/>
        </w:rPr>
      </w:pPr>
      <w:bookmarkStart w:id="63" w:name="_Toc151734554"/>
      <w:bookmarkStart w:id="64" w:name="_Toc148253492"/>
      <w:r>
        <w:rPr>
          <w:rFonts w:hint="default" w:ascii="黑体" w:hAnsi="黑体" w:eastAsia="黑体" w:cs="黑体"/>
          <w:b w:val="0"/>
          <w:bCs w:val="0"/>
          <w:sz w:val="28"/>
          <w:szCs w:val="28"/>
        </w:rPr>
        <w:t>六、提高生态环境治理现代化水平</w:t>
      </w:r>
      <w:bookmarkEnd w:id="63"/>
    </w:p>
    <w:bookmarkEnd w:id="64"/>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（一）提升生态环境监管执法效能</w:t>
      </w:r>
    </w:p>
    <w:p>
      <w:pPr>
        <w:ind w:firstLine="560"/>
        <w:rPr>
          <w:rFonts w:hint="default" w:ascii="Times New Roman" w:hAnsi="Times New Roman" w:cs="Times New Roman"/>
        </w:rPr>
      </w:pPr>
      <w:r>
        <w:rPr>
          <w:rFonts w:hint="default" w:ascii="Times New Roman" w:hAnsi="Times New Roman" w:cs="Times New Roman"/>
        </w:rPr>
        <w:t>不断严格执法责任、优化执法方式、完善执法机制、规范执法行为，落实“双随机、一公开”监管、监督执法正面清单、行政执法“三项制度”等生态环境监管执法制度机制。加强矩阵式执法管理，推进执法队伍规范化建设和网格化监管。以排污许可制为中心的监管执法体系。加强生态环境监管与新一代信息技术深度融合，构建智慧高效的生态环境管理信息化体系。建立非现场监管执法体系，利用科技手段实施非现场监管。探索以政府公共采购方式委托第三方社会机构辅助执法。加强移动源监管能力建设。依法严厉打击危险废物非法转移、倾倒、处置等生态环境违法犯罪，严肃查处环评、监测等领域弄虚作假行为。</w:t>
      </w:r>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（二）建立完善现代化生态环境监测体系</w:t>
      </w:r>
    </w:p>
    <w:p>
      <w:pPr>
        <w:ind w:firstLine="560"/>
        <w:rPr>
          <w:rFonts w:hint="default" w:ascii="Times New Roman" w:hAnsi="Times New Roman" w:cs="Times New Roman"/>
        </w:rPr>
      </w:pPr>
      <w:r>
        <w:rPr>
          <w:rFonts w:hint="default" w:ascii="Times New Roman" w:hAnsi="Times New Roman" w:cs="Times New Roman"/>
        </w:rPr>
        <w:t>以“数字漓江”为先行试点，配合上级建立现代感知技术和大数据技术的生态环境监测网络，优化监测站网布局，实现环境质量、生态质量、污染源监测全覆盖。提升生态环境监测基础能力，补齐细颗粒物和臭氧协同控制、温室气体排放等监测短板。加强生态环境领域科技攻关和技术创新。以绿色低碳技术创新和应用为发展方向，重点发展资源综合利用、节能环保服务产业链，推广生态环境整体解决方案、托管服务和第三方治理。加强生态环境科技成果转化服务，开展生态环境科技帮扶行动。</w:t>
      </w:r>
    </w:p>
    <w:p>
      <w:pPr>
        <w:pStyle w:val="20"/>
        <w:rPr>
          <w:rFonts w:hint="default" w:ascii="Times New Roman" w:hAnsi="Times New Roman" w:cs="Times New Roman"/>
          <w:color w:val="auto"/>
        </w:rPr>
      </w:pPr>
    </w:p>
    <w:p>
      <w:pPr>
        <w:ind w:firstLine="0" w:firstLineChars="0"/>
        <w:jc w:val="center"/>
        <w:outlineLvl w:val="1"/>
        <w:rPr>
          <w:rFonts w:hint="eastAsia" w:ascii="黑体" w:hAnsi="黑体" w:eastAsia="黑体" w:cs="黑体"/>
          <w:sz w:val="32"/>
          <w:szCs w:val="24"/>
        </w:rPr>
      </w:pPr>
      <w:bookmarkStart w:id="65" w:name="_Toc153528955"/>
      <w:bookmarkStart w:id="66" w:name="_Toc151734555"/>
      <w:bookmarkStart w:id="67" w:name="_Toc5494"/>
      <w:bookmarkStart w:id="68" w:name="_Toc401751110"/>
      <w:bookmarkStart w:id="69" w:name="_Toc20652_WPSOffice_Level1"/>
      <w:bookmarkStart w:id="70" w:name="_Toc516472400"/>
      <w:bookmarkStart w:id="71" w:name="_Toc148253493"/>
      <w:r>
        <w:rPr>
          <w:rFonts w:hint="eastAsia" w:ascii="黑体" w:hAnsi="黑体" w:eastAsia="黑体" w:cs="黑体"/>
          <w:sz w:val="32"/>
          <w:szCs w:val="24"/>
        </w:rPr>
        <w:t>第三节 以高规格空间保护筑牢两江源头自然基底</w:t>
      </w:r>
      <w:bookmarkEnd w:id="65"/>
      <w:bookmarkEnd w:id="66"/>
    </w:p>
    <w:bookmarkEnd w:id="67"/>
    <w:bookmarkEnd w:id="68"/>
    <w:bookmarkEnd w:id="69"/>
    <w:bookmarkEnd w:id="70"/>
    <w:bookmarkEnd w:id="71"/>
    <w:p>
      <w:pPr>
        <w:ind w:firstLine="562"/>
        <w:outlineLvl w:val="2"/>
        <w:rPr>
          <w:rFonts w:hint="default" w:ascii="黑体" w:hAnsi="黑体" w:eastAsia="黑体" w:cs="黑体"/>
          <w:b w:val="0"/>
          <w:bCs w:val="0"/>
          <w:sz w:val="28"/>
          <w:szCs w:val="28"/>
        </w:rPr>
      </w:pPr>
      <w:bookmarkStart w:id="72" w:name="_Toc151734556"/>
      <w:bookmarkStart w:id="73" w:name="_Toc30600"/>
      <w:bookmarkStart w:id="74" w:name="_Toc401751112"/>
      <w:bookmarkStart w:id="75" w:name="_Toc32299_WPSOffice_Level2"/>
      <w:bookmarkStart w:id="76" w:name="_Toc14881487"/>
      <w:r>
        <w:rPr>
          <w:rFonts w:hint="default" w:ascii="黑体" w:hAnsi="黑体" w:eastAsia="黑体" w:cs="黑体"/>
          <w:b w:val="0"/>
          <w:bCs w:val="0"/>
          <w:sz w:val="28"/>
          <w:szCs w:val="28"/>
        </w:rPr>
        <w:t>一、优化国土空间保护格局</w:t>
      </w:r>
      <w:bookmarkEnd w:id="72"/>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（一）构建县域开发保护格局</w:t>
      </w:r>
    </w:p>
    <w:p>
      <w:pPr>
        <w:ind w:firstLine="560"/>
        <w:rPr>
          <w:rFonts w:hint="default" w:ascii="Times New Roman" w:hAnsi="Times New Roman" w:cs="Times New Roman"/>
          <w:szCs w:val="28"/>
        </w:rPr>
      </w:pPr>
      <w:r>
        <w:rPr>
          <w:rFonts w:hint="default" w:ascii="Times New Roman" w:hAnsi="Times New Roman" w:cs="Times New Roman"/>
          <w:szCs w:val="28"/>
        </w:rPr>
        <w:t>根据国家和自治区主体功能区规划要求，按照兴安县作为农产品提供区的主体功能定位，立足县域国土空间各区域生态、资源特点及其承载能力实际，引导生产要素有序集中，依托重要交通廊道、河流水系、地形地貌特征等，耦合生态保护、农业发展、城镇开发功能，构建全域“两屏三核三区一心两轴”的总体开发保护格局。</w:t>
      </w:r>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（二）保障生态空间安全格局</w:t>
      </w:r>
    </w:p>
    <w:p>
      <w:pPr>
        <w:ind w:firstLine="560"/>
        <w:rPr>
          <w:rFonts w:hint="default" w:ascii="Times New Roman" w:hAnsi="Times New Roman" w:cs="Times New Roman"/>
          <w:szCs w:val="28"/>
        </w:rPr>
      </w:pPr>
      <w:r>
        <w:rPr>
          <w:rFonts w:hint="default" w:ascii="Times New Roman" w:hAnsi="Times New Roman" w:cs="Times New Roman"/>
          <w:szCs w:val="28"/>
        </w:rPr>
        <w:t>结合兴安县的生态功能区划、生态敏感性分析、社会文化特征以及景观格局，依托区域内山脉、河流水系和自然景观构建生态安全格局，形成“两屏两廊五核多点”生态保护格局。筑牢以广西猫儿山国家级自然保护区、广西海洋山自治区级自然保护区为核心的兴安南北两个绿色生态屏障，严格限制或禁止建设活动；加大湘江生态风情廊道及漓江生态风情廊道保护力度，强化水源涵养与生物多样性功能区、生态公益林和防护林的建设和保护；护好县域5处一级饮用水源保护区及大型水库，加强生态核心地区全过程监管；推进湘江、漓江（桂江）支流流域交汇生态节点保护修复，保障生态廊道的畅通。</w:t>
      </w:r>
    </w:p>
    <w:p>
      <w:pPr>
        <w:ind w:firstLine="562"/>
        <w:outlineLvl w:val="2"/>
        <w:rPr>
          <w:rFonts w:hint="default" w:ascii="黑体" w:hAnsi="黑体" w:eastAsia="黑体" w:cs="黑体"/>
          <w:b w:val="0"/>
          <w:bCs w:val="0"/>
          <w:sz w:val="28"/>
          <w:szCs w:val="28"/>
        </w:rPr>
      </w:pPr>
      <w:bookmarkStart w:id="77" w:name="_Toc151734557"/>
      <w:r>
        <w:rPr>
          <w:rFonts w:hint="default" w:ascii="黑体" w:hAnsi="黑体" w:eastAsia="黑体" w:cs="黑体"/>
          <w:b w:val="0"/>
          <w:bCs w:val="0"/>
          <w:sz w:val="28"/>
          <w:szCs w:val="28"/>
        </w:rPr>
        <w:t>二、健全自然保护地体系建设</w:t>
      </w:r>
      <w:bookmarkEnd w:id="77"/>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（一）构建自然保护地体系</w:t>
      </w:r>
    </w:p>
    <w:p>
      <w:pPr>
        <w:ind w:firstLine="562"/>
        <w:rPr>
          <w:rFonts w:hint="default" w:ascii="Times New Roman" w:hAnsi="Times New Roman" w:cs="Times New Roman"/>
          <w:szCs w:val="28"/>
        </w:rPr>
      </w:pPr>
      <w:r>
        <w:rPr>
          <w:rFonts w:hint="default" w:ascii="Times New Roman" w:hAnsi="Times New Roman" w:cs="Times New Roman"/>
          <w:b/>
          <w:bCs/>
          <w:szCs w:val="28"/>
        </w:rPr>
        <w:t>加强自然保护地保护建设</w:t>
      </w:r>
      <w:r>
        <w:rPr>
          <w:rFonts w:hint="default" w:ascii="Times New Roman" w:hAnsi="Times New Roman" w:cs="Times New Roman"/>
          <w:b/>
          <w:bCs/>
        </w:rPr>
        <w:t>。</w:t>
      </w:r>
      <w:r>
        <w:rPr>
          <w:rFonts w:hint="default" w:ascii="Times New Roman" w:hAnsi="Times New Roman" w:cs="Times New Roman"/>
          <w:szCs w:val="28"/>
        </w:rPr>
        <w:t>构建以广西猫儿山国家级自然保护区、广西海洋山自治区级自然保护区为核心的县域自然保护地体系，实施猫儿山国家级自然保护区、灵渠景区、乐满地度假世界、红军突破湘江战役纪念碑园等主要景区景点基础设施建设及保护利用工程，加快推进自然保护区、自然保护小区（点）、植物园、森林公园、生物廊道等建设。按照自然生态系统原真性、整体性、系统性及其内在规律，配合上级自然资源局完成自然保护地整合优化，与生态保护红线衔接，解决自然保护地存在的区域交叉、空间重叠、保护地破碎和孤岛化以及集体人工商品林等历史遗留问题。</w:t>
      </w:r>
    </w:p>
    <w:p>
      <w:pPr>
        <w:ind w:firstLine="562"/>
        <w:rPr>
          <w:rFonts w:hint="default" w:ascii="Times New Roman" w:hAnsi="Times New Roman" w:cs="Times New Roman"/>
          <w:szCs w:val="28"/>
        </w:rPr>
      </w:pPr>
      <w:r>
        <w:rPr>
          <w:rFonts w:hint="default" w:ascii="Times New Roman" w:hAnsi="Times New Roman" w:cs="Times New Roman"/>
          <w:b/>
          <w:bCs/>
          <w:szCs w:val="28"/>
        </w:rPr>
        <w:t>推进自然保护地勘界定标。</w:t>
      </w:r>
      <w:r>
        <w:rPr>
          <w:rFonts w:hint="default" w:ascii="Times New Roman" w:hAnsi="Times New Roman" w:cs="Times New Roman"/>
          <w:szCs w:val="28"/>
        </w:rPr>
        <w:t>按照国家和广西关于开展自然保护地勘界立标工作相关要求，在总结自然保护地勘界立标试点经验基础上，依法依规勘定各级各类自然保护地边界、功能分区坐标，制定自然保护地边界勘定方案、确认程序和标识系统，设立统一规范的管理性标识牌，对已完成整合优化方案的自然保护地，逐步分批开展勘界立标工作并建立矢量数据库，为自然保护地监督管理和执法处置提供依据，推进广西自然保护地规范化建设和精准化管理。统一组织实施全县自然保护地资源调查，根据国家规定按照分级和属地相结合的方式进行登记管辖，将每个自然保护地作为独立的登记单元，清晰界定自然保护地范围内各类自然资源资产的产权主体，划清资产所有权、使用权的边界，确保权属主体明确、资源边界清晰、登记信息完整。</w:t>
      </w:r>
    </w:p>
    <w:p>
      <w:pPr>
        <w:ind w:firstLine="562"/>
        <w:rPr>
          <w:rFonts w:hint="default" w:ascii="Times New Roman" w:hAnsi="Times New Roman" w:cs="Times New Roman"/>
          <w:szCs w:val="28"/>
        </w:rPr>
      </w:pPr>
      <w:r>
        <w:rPr>
          <w:rFonts w:hint="default" w:ascii="Times New Roman" w:hAnsi="Times New Roman" w:cs="Times New Roman"/>
          <w:b/>
          <w:bCs/>
          <w:szCs w:val="28"/>
        </w:rPr>
        <w:t>加快实施生态综合治理项目。</w:t>
      </w:r>
      <w:r>
        <w:rPr>
          <w:rFonts w:hint="default" w:ascii="Times New Roman" w:hAnsi="Times New Roman" w:cs="Times New Roman"/>
          <w:szCs w:val="28"/>
        </w:rPr>
        <w:t>按照流域系统治理理念，统筹实施猫儿山-海洋山生态综合治理重点项目。一是对区域内所有天然林实行严格保护，加强漓江、湘江源头区域封育保护，加强生态公益林管理。加快石漠化土地治理，以“封山育林为主、造林补植、种草为辅”等措施，加强岩溶地区林草植被恢复。以楠木、红榉、红</w:t>
      </w:r>
      <w:r>
        <w:rPr>
          <w:rFonts w:hint="default" w:ascii="Times New Roman" w:hAnsi="Times New Roman" w:eastAsia="仿宋" w:cs="Times New Roman"/>
          <w:szCs w:val="28"/>
        </w:rPr>
        <w:t>椆</w:t>
      </w:r>
      <w:r>
        <w:rPr>
          <w:rFonts w:hint="default" w:ascii="Times New Roman" w:hAnsi="Times New Roman" w:cs="Times New Roman"/>
          <w:szCs w:val="28"/>
        </w:rPr>
        <w:t>、木荷等为主，建设国家储备林。二是统筹利用水土资源，针对坡度平缓、石漠化程度较轻、人多地少矛盾突出的村寨周边，开展以坡改堤为重点的坡耕地综合整治。三是加强穿山甲、林麝等野生动物栖息地恢复。</w:t>
      </w:r>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（二）强化自然保护地监管</w:t>
      </w:r>
    </w:p>
    <w:p>
      <w:pPr>
        <w:ind w:firstLine="562"/>
        <w:rPr>
          <w:rFonts w:hint="default" w:ascii="Times New Roman" w:hAnsi="Times New Roman" w:cs="Times New Roman"/>
          <w:szCs w:val="28"/>
        </w:rPr>
      </w:pPr>
      <w:r>
        <w:rPr>
          <w:rFonts w:hint="default" w:ascii="Times New Roman" w:hAnsi="Times New Roman" w:cs="Times New Roman"/>
          <w:b/>
          <w:szCs w:val="28"/>
        </w:rPr>
        <w:t>不断完善自然保护地监督管理体系。</w:t>
      </w:r>
      <w:r>
        <w:rPr>
          <w:rFonts w:hint="default" w:ascii="Times New Roman" w:hAnsi="Times New Roman" w:cs="Times New Roman"/>
          <w:szCs w:val="28"/>
        </w:rPr>
        <w:t>坚持以“绿盾”为抓手，常态化开展监督管理，积极组织相关部门对自然保护地遥感监测点位进行现场核查，及时查处破坏森林、野生动物资源、古树名木等生物多样性违法犯罪行为。紧密依托林长制平台，按照“分级负责、协同联动”原则，全面实施森林资源网格化管理，各级林长负责指导本责任区内森林资源保护发展工作，各成员单位协调解决森林资源保护发展重大问题，依法查处各类破坏森林资源的违法犯罪行为。</w:t>
      </w:r>
    </w:p>
    <w:p>
      <w:pPr>
        <w:ind w:firstLine="562"/>
        <w:rPr>
          <w:rFonts w:hint="default" w:ascii="Times New Roman" w:hAnsi="Times New Roman" w:cs="Times New Roman"/>
          <w:szCs w:val="28"/>
        </w:rPr>
      </w:pPr>
      <w:r>
        <w:rPr>
          <w:rFonts w:hint="default" w:ascii="Times New Roman" w:hAnsi="Times New Roman" w:cs="Times New Roman"/>
          <w:b/>
          <w:bCs/>
          <w:szCs w:val="28"/>
        </w:rPr>
        <w:t>扎实开展自然保护地专项整改行动。</w:t>
      </w:r>
      <w:r>
        <w:rPr>
          <w:rFonts w:hint="default" w:ascii="Times New Roman" w:hAnsi="Times New Roman" w:cs="Times New Roman"/>
          <w:szCs w:val="28"/>
        </w:rPr>
        <w:t>加快实施正负面清单管理，针对破坏自然保护地、乱采滥伐，违规上项目等突出或容易忽视的环境问题，强化领导干部的生态保护意识，全面落实生态保护正面清单和禁止事项清单。严格按照《桂林市人民政府关于关停和关闭自然保护区内水电站的通知》（市政规〔2021〕3号）文件要求，持续巩固自然保护区内的水电站清理整改成果。以自然保护地问题整治为重点，建立健全自然保护地生态环境问题台账，严格落实整改销号制度，督促重点问题依法查处到位、彻底整改到位，同时开展常态化监控，坚决遏制新增违法违规问题。</w:t>
      </w:r>
    </w:p>
    <w:p>
      <w:pPr>
        <w:ind w:firstLine="562"/>
        <w:outlineLvl w:val="2"/>
        <w:rPr>
          <w:rFonts w:hint="default" w:ascii="黑体" w:hAnsi="黑体" w:eastAsia="黑体" w:cs="黑体"/>
          <w:b w:val="0"/>
          <w:bCs w:val="0"/>
          <w:sz w:val="28"/>
          <w:szCs w:val="28"/>
        </w:rPr>
      </w:pPr>
      <w:bookmarkStart w:id="78" w:name="_Toc151734558"/>
      <w:r>
        <w:rPr>
          <w:rFonts w:hint="default" w:ascii="黑体" w:hAnsi="黑体" w:eastAsia="黑体" w:cs="黑体"/>
          <w:b w:val="0"/>
          <w:bCs w:val="0"/>
          <w:sz w:val="28"/>
          <w:szCs w:val="28"/>
        </w:rPr>
        <w:t>三、严格生态空间用途管控</w:t>
      </w:r>
      <w:bookmarkEnd w:id="78"/>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（一）加强生态保护红线监管</w:t>
      </w:r>
    </w:p>
    <w:p>
      <w:pPr>
        <w:ind w:firstLine="562"/>
        <w:rPr>
          <w:rFonts w:hint="default" w:ascii="Times New Roman" w:hAnsi="Times New Roman" w:cs="Times New Roman"/>
          <w:szCs w:val="28"/>
        </w:rPr>
      </w:pPr>
      <w:r>
        <w:rPr>
          <w:rFonts w:hint="default" w:ascii="Times New Roman" w:hAnsi="Times New Roman" w:cs="Times New Roman"/>
          <w:b/>
          <w:bCs/>
          <w:szCs w:val="28"/>
        </w:rPr>
        <w:t>开展生态保护红线日常监管。</w:t>
      </w:r>
      <w:r>
        <w:rPr>
          <w:rFonts w:hint="default" w:ascii="Times New Roman" w:hAnsi="Times New Roman" w:cs="Times New Roman"/>
          <w:szCs w:val="28"/>
        </w:rPr>
        <w:t>以“确保生态功能不降低、面积不减少、性质不改变”为监管目标，对生态保护红线的面积、性质、功能和管理情况开展日常监管。协助市级主管部门，开展生态保护红线勘界立标工作；建立生态环境、自然资源、水利、林业等相关部门执法信息移交、反馈机制，协同开展生态保护红线监管执法，创新运用遥感监测与地方实地调查相结合的方法，及时发现、移交、查处各类生态破坏问题并监督保护修复情况。落实生态环境损害赔偿和责任追究制度，加大对挤占生态空间和损害重要生态系统等行为的惩处力度。</w:t>
      </w:r>
    </w:p>
    <w:p>
      <w:pPr>
        <w:ind w:firstLine="562"/>
        <w:rPr>
          <w:rFonts w:hint="default" w:ascii="Times New Roman" w:hAnsi="Times New Roman" w:cs="Times New Roman"/>
          <w:szCs w:val="28"/>
        </w:rPr>
      </w:pPr>
      <w:r>
        <w:rPr>
          <w:rFonts w:hint="default" w:ascii="Times New Roman" w:hAnsi="Times New Roman" w:cs="Times New Roman"/>
          <w:b/>
          <w:bCs/>
          <w:szCs w:val="28"/>
        </w:rPr>
        <w:t>坚持生态保护红线底线思维。</w:t>
      </w:r>
      <w:r>
        <w:rPr>
          <w:rFonts w:hint="default" w:ascii="Times New Roman" w:hAnsi="Times New Roman" w:cs="Times New Roman"/>
          <w:szCs w:val="28"/>
        </w:rPr>
        <w:t>严格按照《兴安县国土空间总体规划（2021-2035年）》的要求，强化底线思维，加强北部猫儿山和南部海洋山等地区生态保护红线的保护力度。在开展区域经济发展与开发规划编制、建设项目环境决策咨询、项目选址、环境影响评价和环评审批时，把生态保护红线的保护作为底线和依据。严禁突破生态红线保护要求的企业建设和营运，调出红线内不符合管理要求的企业。全面开展重要生态功能区保护和管理。继续坚持“严格保护、积极培育、保育结合、合理利用、休养生息”的方针，通过生态保护和建设，保障重要生态功能得到保护，使区域生态实现好转。</w:t>
      </w:r>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（二）推进河湖岸线空间管控</w:t>
      </w:r>
    </w:p>
    <w:p>
      <w:pPr>
        <w:ind w:firstLine="562"/>
        <w:rPr>
          <w:rFonts w:hint="default" w:ascii="Times New Roman" w:hAnsi="Times New Roman" w:cs="Times New Roman"/>
          <w:szCs w:val="28"/>
        </w:rPr>
      </w:pPr>
      <w:r>
        <w:rPr>
          <w:rFonts w:hint="default" w:ascii="Times New Roman" w:hAnsi="Times New Roman" w:cs="Times New Roman"/>
          <w:b/>
          <w:bCs/>
          <w:szCs w:val="28"/>
        </w:rPr>
        <w:t>推进岸线规划编制实施。</w:t>
      </w:r>
      <w:r>
        <w:rPr>
          <w:rFonts w:hint="default" w:ascii="Times New Roman" w:hAnsi="Times New Roman" w:cs="Times New Roman"/>
          <w:szCs w:val="28"/>
        </w:rPr>
        <w:t>根据岸线利用与保护的总体目标和要求，结合兴安县内各河段的河势状况、岸线自然特点、岸线资源状况，按照合理利用与有效保护相结合的原则，继续开展县域内重要河湖岸线保护利用与规划编制，强化水域岸线规划约束，推动用途管制和集约节约利用。此外，按照规划明确的保护区、保留区、控制利用区、开发利用区实施分区管控，确保完成上级河湖岸线保护率管控目标。</w:t>
      </w:r>
    </w:p>
    <w:p>
      <w:pPr>
        <w:ind w:firstLine="562"/>
        <w:rPr>
          <w:rFonts w:hint="default" w:ascii="Times New Roman" w:hAnsi="Times New Roman" w:cs="Times New Roman"/>
          <w:szCs w:val="28"/>
        </w:rPr>
      </w:pPr>
      <w:r>
        <w:rPr>
          <w:rFonts w:hint="default" w:ascii="Times New Roman" w:hAnsi="Times New Roman" w:cs="Times New Roman"/>
          <w:b/>
          <w:bCs/>
          <w:szCs w:val="28"/>
        </w:rPr>
        <w:t>强化河湖岸线执法监督。</w:t>
      </w:r>
      <w:r>
        <w:rPr>
          <w:rFonts w:hint="default" w:ascii="Times New Roman" w:hAnsi="Times New Roman" w:cs="Times New Roman"/>
          <w:szCs w:val="28"/>
        </w:rPr>
        <w:t>健全部门联合执法长效机制，充分发挥河湖长制平台优势作用，推动“河湖长+检察长”“河湖长+警长”等协作机制落地见效，加强行政执法与刑事司法有机衔接，对破坏河湖生态环境的依法提起公益诉讼，推动解决难点、重点问题。加大河道巡查力度，严厉打击涉江河非法采砂、非法采矿、非法占用水域和岸线资源行为，加强河道治理以及开展河道“清四乱”专项整治行动，营造河道良好环境。</w:t>
      </w:r>
    </w:p>
    <w:p>
      <w:pPr>
        <w:ind w:firstLine="562"/>
        <w:rPr>
          <w:rFonts w:hint="default" w:ascii="Times New Roman" w:hAnsi="Times New Roman" w:cs="Times New Roman"/>
          <w:szCs w:val="28"/>
        </w:rPr>
      </w:pPr>
      <w:r>
        <w:rPr>
          <w:rFonts w:hint="default" w:ascii="Times New Roman" w:hAnsi="Times New Roman" w:cs="Times New Roman"/>
          <w:b/>
          <w:bCs/>
          <w:szCs w:val="28"/>
        </w:rPr>
        <w:t>加强河湖岸线保护修复。</w:t>
      </w:r>
      <w:r>
        <w:rPr>
          <w:rFonts w:hint="default" w:ascii="Times New Roman" w:hAnsi="Times New Roman" w:cs="Times New Roman"/>
          <w:szCs w:val="28"/>
        </w:rPr>
        <w:t>推进河岸带保护与修复工作，实施综合整治和河道清淤，设计生态护岸，保护和恢复河流生态环境。合理安排河流管理保护控制地带，特别是灵渠河段，加强河流周边房地产、工矿企业等“贴线”开发管控。严格涉河涉湖建设项目审批，严禁以各种名义侵占河道、设置行洪障碍，对岸线乱占滥用等突出问题开展清理整治。</w:t>
      </w:r>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（三）实施生态环境分区管控</w:t>
      </w:r>
    </w:p>
    <w:p>
      <w:pPr>
        <w:ind w:firstLine="562"/>
        <w:rPr>
          <w:rFonts w:hint="default" w:ascii="Times New Roman" w:hAnsi="Times New Roman" w:cs="Times New Roman"/>
          <w:szCs w:val="28"/>
        </w:rPr>
      </w:pPr>
      <w:r>
        <w:rPr>
          <w:rFonts w:hint="default" w:ascii="Times New Roman" w:hAnsi="Times New Roman" w:cs="Times New Roman"/>
          <w:b/>
          <w:bCs/>
          <w:szCs w:val="28"/>
        </w:rPr>
        <w:t>强化生态环境分区管控。</w:t>
      </w:r>
      <w:r>
        <w:rPr>
          <w:rFonts w:hint="default" w:ascii="Times New Roman" w:hAnsi="Times New Roman" w:cs="Times New Roman"/>
          <w:szCs w:val="28"/>
        </w:rPr>
        <w:t>根据《桂林市人民政府关于“三线一单”生态环境分区管控的实施意见》（桂政发〔2020〕39号），兴安县划定生态环境管控单元19个，其中优先保护单元15个，重点管控单元3个，一般管控单元1个。其中优先保护单元内，依法禁止或限制大规模、高强度的工业和城镇建设，在功能受损的优先保护单元优先开展生态保护修复活动，恢复生态系统服务功能。重点管控单元内，优化空间布局，不断提升资源利用效率，有针对性地加强污染物排放控制和环境风险防控，解决生态环境质量不达标、生态环境风险高等问题。一般管控单元内，主要落实生态环境保护基本要求。</w:t>
      </w:r>
    </w:p>
    <w:p>
      <w:pPr>
        <w:ind w:firstLine="562"/>
        <w:rPr>
          <w:rFonts w:hint="default" w:ascii="Times New Roman" w:hAnsi="Times New Roman" w:cs="Times New Roman"/>
          <w:szCs w:val="28"/>
        </w:rPr>
      </w:pPr>
      <w:r>
        <w:rPr>
          <w:rFonts w:hint="default" w:ascii="Times New Roman" w:hAnsi="Times New Roman" w:cs="Times New Roman"/>
          <w:b/>
          <w:bCs/>
          <w:szCs w:val="28"/>
        </w:rPr>
        <w:t>严把建设项目生态环境准入关。</w:t>
      </w:r>
      <w:r>
        <w:rPr>
          <w:rFonts w:hint="default" w:ascii="Times New Roman" w:hAnsi="Times New Roman" w:cs="Times New Roman"/>
          <w:szCs w:val="28"/>
        </w:rPr>
        <w:t>坚持将管控成果应用于建设项目环评审批和规划环评审查工作中。在建设项目环评文件编制初期，提前运用“三线一单”数据平台查询项目所处环境管控单元，明确生态环境分区管控及准入清单要求，针对项目选址、规模、性质、生产工艺及产污节点、排污去向等方面，分析项目与“三线一单”的相符性，并将结果快速告知建设单位。在建设项目环评审查中，通过比对查询“三线一单”数据成果，明确各类生态环境要素管控要求，从空间布局约束、污染物排放管控、环境风险防控、资源开发利用效率要求四个维度对项目“三线一单”符合性、环境可行性进行深入分析，提升“三线一单”应用实效。</w:t>
      </w:r>
    </w:p>
    <w:p>
      <w:pPr>
        <w:pStyle w:val="20"/>
        <w:rPr>
          <w:rFonts w:hint="default" w:ascii="Times New Roman" w:hAnsi="Times New Roman" w:cs="Times New Roman"/>
          <w:color w:val="auto"/>
        </w:rPr>
      </w:pPr>
    </w:p>
    <w:p>
      <w:pPr>
        <w:ind w:firstLine="0" w:firstLineChars="0"/>
        <w:jc w:val="center"/>
        <w:outlineLvl w:val="1"/>
        <w:rPr>
          <w:rFonts w:hint="eastAsia" w:ascii="黑体" w:hAnsi="黑体" w:eastAsia="黑体" w:cs="黑体"/>
          <w:sz w:val="32"/>
          <w:szCs w:val="24"/>
        </w:rPr>
      </w:pPr>
      <w:bookmarkStart w:id="79" w:name="_Toc151734559"/>
      <w:bookmarkStart w:id="80" w:name="_Toc153528956"/>
      <w:r>
        <w:rPr>
          <w:rFonts w:hint="eastAsia" w:ascii="黑体" w:hAnsi="黑体" w:eastAsia="黑体" w:cs="黑体"/>
          <w:sz w:val="32"/>
          <w:szCs w:val="24"/>
        </w:rPr>
        <w:t>第四节 以高质量发展推动现代产业富绿共赢</w:t>
      </w:r>
      <w:bookmarkEnd w:id="79"/>
      <w:bookmarkEnd w:id="80"/>
    </w:p>
    <w:bookmarkEnd w:id="73"/>
    <w:bookmarkEnd w:id="74"/>
    <w:bookmarkEnd w:id="75"/>
    <w:bookmarkEnd w:id="76"/>
    <w:p>
      <w:pPr>
        <w:ind w:firstLine="562"/>
        <w:outlineLvl w:val="2"/>
        <w:rPr>
          <w:rFonts w:hint="default" w:ascii="黑体" w:hAnsi="黑体" w:eastAsia="黑体" w:cs="黑体"/>
          <w:b w:val="0"/>
          <w:bCs w:val="0"/>
          <w:sz w:val="28"/>
          <w:szCs w:val="28"/>
        </w:rPr>
      </w:pPr>
      <w:bookmarkStart w:id="81" w:name="_Toc151734560"/>
      <w:r>
        <w:rPr>
          <w:rFonts w:hint="default" w:ascii="黑体" w:hAnsi="黑体" w:eastAsia="黑体" w:cs="黑体"/>
          <w:b w:val="0"/>
          <w:bCs w:val="0"/>
          <w:sz w:val="28"/>
          <w:szCs w:val="28"/>
        </w:rPr>
        <w:t>一、加快推动工业绿色转型</w:t>
      </w:r>
      <w:bookmarkEnd w:id="81"/>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（一）加快重点产业绿色提质发展</w:t>
      </w:r>
    </w:p>
    <w:p>
      <w:pPr>
        <w:ind w:firstLine="562"/>
        <w:rPr>
          <w:rFonts w:hint="default" w:ascii="Times New Roman" w:hAnsi="Times New Roman" w:cs="Times New Roman"/>
          <w:szCs w:val="28"/>
        </w:rPr>
      </w:pPr>
      <w:r>
        <w:rPr>
          <w:rFonts w:hint="default" w:ascii="Times New Roman" w:hAnsi="Times New Roman" w:cs="Times New Roman"/>
          <w:b/>
          <w:bCs/>
          <w:szCs w:val="28"/>
        </w:rPr>
        <w:t>深入推动传统产业转型提升。</w:t>
      </w:r>
      <w:r>
        <w:rPr>
          <w:rFonts w:hint="default" w:ascii="Times New Roman" w:hAnsi="Times New Roman" w:cs="Times New Roman"/>
          <w:szCs w:val="28"/>
        </w:rPr>
        <w:t>稳妥有序淘汰落后产能，支持碳酸钙精深加工和生态建材、农产品深加工产业等传统产业企业技术改造，加快“两化”融合、装备升级、模式创新和品牌质量建设。坚持“以优势资源型产业为突破口”，做强做大碳酸钙产业，打造优势品牌，延伸产业链条，大力发展新型产业，包括碳酸钙产业到填充母粒的转型，氧化钙产业到吸水母粒的转型，增强工业发展的可持续性，加快形成产业集群。积极开发应用新技术、新工艺和先进设备，积极采用高新技术和先进适用技术，改造提升传统建材产业，重点发展兴安海螺新型干法水泥、水泥制品、新型墙体材料、新型建筑装饰装修材料等绿色新型建材，加快发展大理石、花岗岩板材和工艺制品，大力发展深加工玻璃产品，打造集非金属矿采选、新型建材生产、建材物流为一体的新型建材产业集群。突出“旅游、绿色”特色概念，继续做大做强农副产品及食品加工业，加快发展灵渠酒业“桂林三花”及崔家银杏酿酒等酿酒业，大力发展果蔬、食用菌、饲料加工业，着力推进粮油加工业，提高食品精深加工程度和附加值，重点引进和扶持一批农副产品加工企业和产业化项目，努力形成一批知名品牌和特色优势产品。</w:t>
      </w:r>
    </w:p>
    <w:p>
      <w:pPr>
        <w:ind w:firstLine="562"/>
        <w:rPr>
          <w:rFonts w:hint="default" w:ascii="Times New Roman" w:hAnsi="Times New Roman" w:cs="Times New Roman"/>
          <w:szCs w:val="28"/>
        </w:rPr>
      </w:pPr>
      <w:r>
        <w:rPr>
          <w:rFonts w:hint="default" w:ascii="Times New Roman" w:hAnsi="Times New Roman" w:cs="Times New Roman"/>
          <w:b/>
          <w:bCs/>
          <w:szCs w:val="28"/>
        </w:rPr>
        <w:t>大力推动优势产业发展提质。</w:t>
      </w:r>
      <w:r>
        <w:rPr>
          <w:rFonts w:hint="default" w:ascii="Times New Roman" w:hAnsi="Times New Roman" w:cs="Times New Roman"/>
          <w:szCs w:val="28"/>
        </w:rPr>
        <w:t>通过补链、强链、延链、建链等举措，进一步做大汽车部件、新能源、装备制造等优势产业规模，强化龙头企业培育，促进配套企业集聚，逐步形成一批特色产业集群，提升优势现代制造业发展层次和核心竞争力。加快建设兴安（玉环）汽车部件产业园，打造铸造、锻造、设备制造、机械制造、表面处理、橡塑制品和汽车用品及零部件生产等相关产业的生产基地。积极发展风力发电行业，以风电成套装备和关键零部件生产为重点，实现风力发电装备的本地化制造，积极引入高速齿轮箱、发电机、叶片、塔筒、法兰、轮毂、底盘、主轴、回转支承等关键配套件配套企业，完善风力发电行业产业链，做大做强风力发电行业。</w:t>
      </w:r>
    </w:p>
    <w:p>
      <w:pPr>
        <w:ind w:firstLine="562"/>
        <w:rPr>
          <w:rFonts w:hint="default" w:ascii="Times New Roman" w:hAnsi="Times New Roman" w:cs="Times New Roman"/>
          <w:szCs w:val="28"/>
        </w:rPr>
      </w:pPr>
      <w:r>
        <w:rPr>
          <w:rFonts w:hint="default" w:ascii="Times New Roman" w:hAnsi="Times New Roman" w:cs="Times New Roman"/>
          <w:b/>
          <w:bCs/>
          <w:szCs w:val="28"/>
        </w:rPr>
        <w:t>积极发展战略性新兴产业。</w:t>
      </w:r>
      <w:r>
        <w:rPr>
          <w:rFonts w:hint="default" w:ascii="Times New Roman" w:hAnsi="Times New Roman" w:cs="Times New Roman"/>
          <w:szCs w:val="28"/>
        </w:rPr>
        <w:t>推动新一代信息技术、新材料、新能源节能环保、大健康等战略性新兴产业发展，探索发展通用航空产业，积极推动军民融合产业发展。围绕桂林电子信息产业重点行业与产业发展需求，重点发展电子元器件、频率器件、电声器件及电子材料、手机及电池等电子信息终端产品及配套产业、数字电视接收机、机顶盒、高频头、自动智能天线、卫星通信产品。积极利用国际生物医药产业调整转移的契机，立足兴安丰富的中草药和植物资源优势，重点发展中成药、中药提取物，积极发展中药饮片，适当发展生物制品及医疗器械等。依托兴安气候、生态和中草药优势以及丰富的历史文化资源，建设特色医院、养老基地等基础设施，构建完善旅游康养服务体系，发展健康药食材、度假养生、文化养生等产业。加快推进通用航空旅游文化产业项目建设，引进航空物流、中转仓库、培训、飞行器代管、加油等业务，建设飞行体验馆、航空博览馆及桂北区应急救援中心，打造华南低空交通枢纽。</w:t>
      </w:r>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（二）加强工业园区低碳循环建设</w:t>
      </w:r>
    </w:p>
    <w:p>
      <w:pPr>
        <w:ind w:firstLine="562"/>
        <w:rPr>
          <w:rFonts w:hint="default" w:ascii="Times New Roman" w:hAnsi="Times New Roman" w:cs="Times New Roman"/>
          <w:szCs w:val="28"/>
        </w:rPr>
      </w:pPr>
      <w:r>
        <w:rPr>
          <w:rFonts w:hint="default" w:ascii="Times New Roman" w:hAnsi="Times New Roman" w:cs="Times New Roman"/>
          <w:b/>
          <w:bCs/>
          <w:szCs w:val="28"/>
        </w:rPr>
        <w:t>优化园区空间布局。</w:t>
      </w:r>
      <w:r>
        <w:rPr>
          <w:rFonts w:hint="default" w:ascii="Times New Roman" w:hAnsi="Times New Roman" w:cs="Times New Roman"/>
          <w:szCs w:val="28"/>
        </w:rPr>
        <w:t>围绕“园区化、集群化、高端化、智能化、生态化”发展方向，把兴安工业集中区作为产业优化升级的主战场，促进主导产业向园区集中、承接产业向园区转移、关联产业在园区配套、产业集群在园区聚集。完善园区总体规划，优化全县产业园区、工业区形态和布局，加强园区基础设施配套，提高土地集约利用水平，拓展产业发展空间，做强做优重点园区，做专做精特色“园中园”，形成空间集约利用、产业集群发展、服务集中配套的园区优势，构建布局合理、良性互动、错位发展、功能协调的“一区多园”新型工业化发展格局。</w:t>
      </w:r>
    </w:p>
    <w:p>
      <w:pPr>
        <w:ind w:firstLine="562"/>
        <w:rPr>
          <w:rFonts w:hint="default" w:ascii="Times New Roman" w:hAnsi="Times New Roman" w:cs="Times New Roman"/>
          <w:szCs w:val="28"/>
        </w:rPr>
      </w:pPr>
      <w:r>
        <w:rPr>
          <w:rFonts w:hint="default" w:ascii="Times New Roman" w:hAnsi="Times New Roman" w:cs="Times New Roman"/>
          <w:b/>
          <w:bCs/>
          <w:szCs w:val="28"/>
        </w:rPr>
        <w:t>全面推行清洁生产。</w:t>
      </w:r>
      <w:r>
        <w:rPr>
          <w:rFonts w:hint="default" w:ascii="Times New Roman" w:hAnsi="Times New Roman" w:cs="Times New Roman"/>
          <w:szCs w:val="28"/>
        </w:rPr>
        <w:t>引导企业在生产过程中使用无毒无害、低毒低害、低（无）挥发性有机物（VOCs）含量等环境友好型原料。推广易拆解、易分类、易回收的产品设计方案，提高再生原料的替代使用比例。推动包装和包装印刷减量化。依法在“双超双有高耗能”行业实施强制性清洁生产审核，引导其他行业自觉自愿开展审核。进一步规范清洁生产审核行为，提高清洁生产审核质量。加强对低品位矿、共伴生矿、难选冶矿、尾矿等的综合利用，推进有价组分高效提取利用。进一步拓宽粉煤灰、煤矸石、锰渣、建筑垃圾等大宗固废综合利用渠道。</w:t>
      </w:r>
    </w:p>
    <w:p>
      <w:pPr>
        <w:ind w:firstLine="562"/>
        <w:rPr>
          <w:rFonts w:hint="default" w:ascii="Times New Roman" w:hAnsi="Times New Roman" w:cs="Times New Roman"/>
          <w:szCs w:val="28"/>
        </w:rPr>
      </w:pPr>
      <w:r>
        <w:rPr>
          <w:rFonts w:hint="default" w:ascii="Times New Roman" w:hAnsi="Times New Roman" w:cs="Times New Roman"/>
          <w:b/>
          <w:bCs/>
          <w:szCs w:val="28"/>
        </w:rPr>
        <w:t>积极打造循环园区。</w:t>
      </w:r>
      <w:r>
        <w:rPr>
          <w:rFonts w:hint="default" w:ascii="Times New Roman" w:hAnsi="Times New Roman" w:cs="Times New Roman"/>
          <w:szCs w:val="28"/>
        </w:rPr>
        <w:t>以兴安工业集中区为重点，制定实施循环化改造实施方案，推动企业循环式生产、产业循环式组合，推广应用源头减量、循环利用、再制造、零排放等绿色技术，推行集中供气供热、余热余压利用等能源高效利用模式。鼓励园区推进绿色工厂建设，实现厂房集约化、原料无害化、生产洁净化、废物资源化、能源低碳化、建材绿色化。通过上下游产业优化整合，实现资源集约利用、废物交换利用、废水循环利用、能量梯级利用，构筑链接循环的产业链条。</w:t>
      </w:r>
    </w:p>
    <w:p>
      <w:pPr>
        <w:ind w:firstLine="562"/>
        <w:outlineLvl w:val="2"/>
        <w:rPr>
          <w:rFonts w:hint="default" w:ascii="黑体" w:hAnsi="黑体" w:eastAsia="黑体" w:cs="黑体"/>
          <w:b w:val="0"/>
          <w:bCs w:val="0"/>
          <w:sz w:val="28"/>
          <w:szCs w:val="28"/>
        </w:rPr>
      </w:pPr>
      <w:bookmarkStart w:id="82" w:name="_Toc151734561"/>
      <w:r>
        <w:rPr>
          <w:rFonts w:hint="default" w:ascii="黑体" w:hAnsi="黑体" w:eastAsia="黑体" w:cs="黑体"/>
          <w:b w:val="0"/>
          <w:bCs w:val="0"/>
          <w:sz w:val="28"/>
          <w:szCs w:val="28"/>
        </w:rPr>
        <w:t>二、提升发展绿色生态农业</w:t>
      </w:r>
      <w:bookmarkEnd w:id="82"/>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（一）着力发展特色生态农业</w:t>
      </w:r>
    </w:p>
    <w:p>
      <w:pPr>
        <w:ind w:firstLine="562"/>
        <w:rPr>
          <w:rFonts w:hint="default" w:ascii="Times New Roman" w:hAnsi="Times New Roman" w:cs="Times New Roman"/>
          <w:szCs w:val="28"/>
        </w:rPr>
      </w:pPr>
      <w:r>
        <w:rPr>
          <w:rFonts w:hint="default" w:ascii="Times New Roman" w:hAnsi="Times New Roman" w:cs="Times New Roman"/>
          <w:b/>
          <w:bCs/>
          <w:szCs w:val="28"/>
        </w:rPr>
        <w:t>重点抓好九大特色产业。</w:t>
      </w:r>
      <w:r>
        <w:rPr>
          <w:rFonts w:hint="default" w:ascii="Times New Roman" w:hAnsi="Times New Roman" w:cs="Times New Roman"/>
          <w:szCs w:val="28"/>
        </w:rPr>
        <w:t>着力构建现代农业产业、生产、经营体系，提高农业质量效益和竞争力，推动农林牧渔结合、种养加一体、一二三产业融合发展。以促进葡萄产业优质化、精品化、标准化、品牌化、效益化发展为目标，加大基础设施改造升级，大力推广促成栽培、错峰栽培、冬季套种等葡萄生产先进技术力度，加快发展葡萄分选、包装等初加工以及开发果汁、罐头等精深加工，打造知名品牌。重点发展南丰蜜桔优势品种和金秋砂糖桔、十月桔、高档脐橙等新品种，加大柑桔无菌苗、大苗及先进种植技术推广，加强柑桔黄龙病（木虱）“飞防”统防统治，提升柑桔采后处理标准化、现代化水平，加大柑桔精深加工与品牌建设力度。以兴安镇、高尚镇和白石乡等乡（镇）的高海拔山区为主，大力发展高山特色绿色蔬菜以及反季节优质蔬菜，重点建设全县“菜篮子”生产基地和打造高山特色精品蔬菜品牌形象。发展生态水稻产业，加强中低产田改造和高产稳产标准粮田建设以及推广再生稻，大力推广“稻鱼共生、稻米菜花肥”等生态循环绿色高效种植模式。谋划毛竹产业园的建设，大力发展毛竹精深加工，打造与旅游融合发展的毛竹精品园、生态毛竹产业（核心）示范区。积极发展食用菌、罗汉果、猕猴桃、百香果等新兴绿色产业。重点发展瘦肉型生猪和草食动物牛羊的饲养，积极发展家禽养殖，加快养殖规模化、产业化、生态化发展。</w:t>
      </w:r>
    </w:p>
    <w:p>
      <w:pPr>
        <w:ind w:firstLine="562"/>
        <w:rPr>
          <w:rFonts w:hint="default" w:ascii="Times New Roman" w:hAnsi="Times New Roman" w:cs="Times New Roman"/>
          <w:szCs w:val="28"/>
        </w:rPr>
      </w:pPr>
      <w:r>
        <w:rPr>
          <w:rFonts w:hint="default" w:ascii="Times New Roman" w:hAnsi="Times New Roman" w:cs="Times New Roman"/>
          <w:b/>
          <w:bCs/>
          <w:szCs w:val="28"/>
        </w:rPr>
        <w:t>优化布局特色农业空间。</w:t>
      </w:r>
      <w:r>
        <w:rPr>
          <w:rFonts w:hint="default" w:ascii="Times New Roman" w:hAnsi="Times New Roman" w:cs="Times New Roman"/>
          <w:szCs w:val="28"/>
        </w:rPr>
        <w:t>县域构建“一核两带三区多点”现代农业发展空间格局。“一核”为都市农业生产核心，在中心城区周边发展现代都市农业，辐射带动周边农业经济发展。“两带”为农业灌溉发展带，以桂江（漓江支流）、湘江两条核心河流，作为农业灌溉发展带。“三区”分别为北部生态特色农业区，主要种植毛竹、食用菌和柑橘等产品，建设一批示范性农业示范区；中部粮食农业区，以水稻等粮食作物种植为主，配套种植甜玉米、柑橘和葡萄等农产品；南部生态特色农业区，主要种植毛竹、食用菌、高山蔬菜和葡萄等产品，规划建设食用菌与高山蔬菜示范种植基地，打造一批农业品牌。多点：推进灵渠葡萄产业示范区、“金满田园”粮食产业核心示范区和红色湘江蜜桔产业（核心）示范区等农业产业示范区发展，规划建设银杏产业示范片区、鱼稻富硒米种植示范区等特色农业示范区，做大做强一批优势农产品和优势农业示范区产区。</w:t>
      </w:r>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（二）打造绿色健康优势品牌</w:t>
      </w:r>
    </w:p>
    <w:p>
      <w:pPr>
        <w:ind w:firstLine="562"/>
        <w:rPr>
          <w:rFonts w:hint="default" w:ascii="Times New Roman" w:hAnsi="Times New Roman" w:cs="Times New Roman"/>
          <w:szCs w:val="28"/>
        </w:rPr>
      </w:pPr>
      <w:r>
        <w:rPr>
          <w:rFonts w:hint="default" w:ascii="Times New Roman" w:hAnsi="Times New Roman" w:cs="Times New Roman"/>
          <w:b/>
          <w:bCs/>
          <w:szCs w:val="28"/>
        </w:rPr>
        <w:t>打造绿色有机品牌。</w:t>
      </w:r>
      <w:r>
        <w:rPr>
          <w:rFonts w:hint="default" w:ascii="Times New Roman" w:hAnsi="Times New Roman" w:cs="Times New Roman"/>
          <w:szCs w:val="28"/>
        </w:rPr>
        <w:t>实施质量兴农，加强“三品一标”农产品基地认证和地理标志产品登记，加快农产品质量安全检测体系建设，健全从农田到餐桌的农产品质量安全全过程监管体系，实行严格的农产品质量安全可追溯制度、召回制度、市场准入和退出制度。倾斜支持农业科技创新，加强对企业开展农业科技研发的引导扶持，以配方施肥、农机农艺融合、病虫害统防统治和农业物联网信息化为重点，加快适应高产、优质、高效农业发展要求的技术体系建设。创建“三品一标”农产品品牌，打造粤港澳大湾区重点“菜篮子”基地和健康食品供应基地。</w:t>
      </w:r>
    </w:p>
    <w:p>
      <w:pPr>
        <w:ind w:firstLine="562"/>
        <w:rPr>
          <w:rFonts w:hint="default" w:ascii="Times New Roman" w:hAnsi="Times New Roman" w:cs="Times New Roman"/>
          <w:szCs w:val="28"/>
        </w:rPr>
      </w:pPr>
      <w:r>
        <w:rPr>
          <w:rFonts w:hint="default" w:ascii="Times New Roman" w:hAnsi="Times New Roman" w:cs="Times New Roman"/>
          <w:b/>
          <w:bCs/>
          <w:szCs w:val="28"/>
        </w:rPr>
        <w:t>发展富硒特色品牌。</w:t>
      </w:r>
      <w:r>
        <w:rPr>
          <w:rFonts w:hint="default" w:ascii="Times New Roman" w:hAnsi="Times New Roman" w:cs="Times New Roman"/>
          <w:szCs w:val="28"/>
        </w:rPr>
        <w:t>选择优质富硒区域，支持示范区或基地的建设，积极引导龙头企业参与，提供技术基础及指导，推进富硒生产示范区或基地建设。加快兴安镇、崔家乡千亩鱼稻富硒米农业示范区的建设步伐，对“鱼稻富硒米”生态品牌进行宣传，加大其在桂北乃至华南区域的影响力。研究提升富硒产品的附加值，推动富硒全产业链融合发展。健全富硒质量控制监管体系，鼓励龙头企业、农民合作社、中小微企业等主体严格执行富硒优质农产品标准技术规范，按标生产，建设富硒产品质量安全信用体系。深化富硒产品质量安全例行检测和监督抽查，加强对富硒产品生产、流通环节质量监管，依法打击掺假制假、以次充好等扰乱市场秩序行为，提高富硒产品质量安全执法监管能力，实现富硒产品质量安全监管全覆盖。</w:t>
      </w:r>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（三）推行农业循环生产方式</w:t>
      </w:r>
    </w:p>
    <w:p>
      <w:pPr>
        <w:ind w:firstLine="562"/>
        <w:rPr>
          <w:rFonts w:hint="default" w:ascii="Times New Roman" w:hAnsi="Times New Roman" w:cs="Times New Roman"/>
          <w:szCs w:val="28"/>
        </w:rPr>
      </w:pPr>
      <w:r>
        <w:rPr>
          <w:rFonts w:hint="default" w:ascii="Times New Roman" w:hAnsi="Times New Roman" w:cs="Times New Roman"/>
          <w:b/>
          <w:bCs/>
          <w:szCs w:val="28"/>
        </w:rPr>
        <w:t>加强农林废弃物资源化利用。</w:t>
      </w:r>
      <w:r>
        <w:rPr>
          <w:rFonts w:hint="default" w:ascii="Times New Roman" w:hAnsi="Times New Roman" w:cs="Times New Roman"/>
          <w:szCs w:val="28"/>
        </w:rPr>
        <w:t>推动农作物秸秆、畜禽粪污、林业废弃物、农产品加工副产物等农林废弃物高效利用。加强农作物秸秆综合利用，坚持农用优先，加大秸秆还田力度，发挥耕地保育功能，鼓励秸秆离田产业化利用，开发新材料新产品，提高秸秆饲料、燃料、原料等附加值。继续推进兴安县畜禽粪污资源化利用整县项目，通过支持规模养殖进行粪污处理设施新建、升级改造，改造养殖场栏舍、节水装置、雨污分流等；支持规模场建设大型沼气池，达到全县畜禽粪污综合利用率达到90%以上，规模养殖场粪污处理设施装备配套率达到100%。因地制宜鼓励利用次小薪材、林业三剩物（采伐剩余物、造材剩余物、加工剩余物）进行复合板材生产、食用菌栽培和能源化利用，推进农产品加工副产物的资源化利用。</w:t>
      </w:r>
    </w:p>
    <w:p>
      <w:pPr>
        <w:ind w:firstLine="562"/>
        <w:rPr>
          <w:rFonts w:hint="default" w:ascii="Times New Roman" w:hAnsi="Times New Roman" w:cs="Times New Roman"/>
          <w:szCs w:val="28"/>
        </w:rPr>
      </w:pPr>
      <w:r>
        <w:rPr>
          <w:rFonts w:hint="default" w:ascii="Times New Roman" w:hAnsi="Times New Roman" w:cs="Times New Roman"/>
          <w:b/>
          <w:bCs/>
          <w:szCs w:val="28"/>
        </w:rPr>
        <w:t>加强废旧农用物资回收利用。</w:t>
      </w:r>
      <w:r>
        <w:rPr>
          <w:rFonts w:hint="default" w:ascii="Times New Roman" w:hAnsi="Times New Roman" w:cs="Times New Roman"/>
          <w:szCs w:val="28"/>
        </w:rPr>
        <w:t>引导种植大户、农民合作社、家庭农场、农用物资企业、废旧物资回收企业等相关责任主体主动参与回收。支持乡（镇）集中开展回收设施建设，健全农膜、化肥与农药包装、灌溉器材、农机具、渔网等废旧农用物资回收体系。建设区域性废旧农用物资集中处置利用设施，提高规模化、资源化利用水平。</w:t>
      </w:r>
    </w:p>
    <w:p>
      <w:pPr>
        <w:ind w:firstLine="562"/>
        <w:rPr>
          <w:rFonts w:hint="default" w:ascii="Times New Roman" w:hAnsi="Times New Roman" w:cs="Times New Roman"/>
          <w:szCs w:val="28"/>
        </w:rPr>
      </w:pPr>
      <w:r>
        <w:rPr>
          <w:rFonts w:hint="default" w:ascii="Times New Roman" w:hAnsi="Times New Roman" w:cs="Times New Roman"/>
          <w:b/>
          <w:bCs/>
          <w:szCs w:val="28"/>
        </w:rPr>
        <w:t>推行循环型农业发展模式。</w:t>
      </w:r>
      <w:r>
        <w:rPr>
          <w:rFonts w:hint="default" w:ascii="Times New Roman" w:hAnsi="Times New Roman" w:cs="Times New Roman"/>
          <w:szCs w:val="28"/>
        </w:rPr>
        <w:t>推行种养结合、农牧结合、养殖场建设与农田建设有机结合，推广畜禽、鱼、粮、菜、果、茶协同发展模式。打造一批生态农场和生态循环农业产业联合体，探索可持续运行机制。推进农村生物质能开发利用，发挥清洁能源供应和农村生态环境治理综合效益。构建林业循环经济产业链，推广林上、林间、林下立体开发产业模式。重点在全县范围内推广化肥一体化节水节肥技术，提高水肥资源利用效率，减少化肥用量，实现化肥施用量零增长。推进种植、养殖、农产品加工、生物质能、旅游康养等循环链接，鼓励一二三产融合发展。</w:t>
      </w:r>
      <w:bookmarkStart w:id="83" w:name="_Toc148253500"/>
    </w:p>
    <w:p>
      <w:pPr>
        <w:ind w:firstLine="562"/>
        <w:outlineLvl w:val="2"/>
        <w:rPr>
          <w:rFonts w:hint="default" w:ascii="黑体" w:hAnsi="黑体" w:eastAsia="黑体" w:cs="黑体"/>
          <w:b w:val="0"/>
          <w:bCs w:val="0"/>
          <w:sz w:val="28"/>
          <w:szCs w:val="28"/>
        </w:rPr>
      </w:pPr>
      <w:bookmarkStart w:id="84" w:name="_Toc151734562"/>
      <w:r>
        <w:rPr>
          <w:rFonts w:hint="default" w:ascii="黑体" w:hAnsi="黑体" w:eastAsia="黑体" w:cs="黑体"/>
          <w:b w:val="0"/>
          <w:bCs w:val="0"/>
          <w:sz w:val="28"/>
          <w:szCs w:val="28"/>
        </w:rPr>
        <w:t>三、高质量发展生态文旅</w:t>
      </w:r>
      <w:bookmarkEnd w:id="84"/>
    </w:p>
    <w:bookmarkEnd w:id="83"/>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（一）优化全域旅游开发格局</w:t>
      </w:r>
    </w:p>
    <w:p>
      <w:pPr>
        <w:ind w:firstLine="560"/>
        <w:rPr>
          <w:rFonts w:hint="default" w:ascii="Times New Roman" w:hAnsi="Times New Roman" w:cs="Times New Roman"/>
          <w:szCs w:val="28"/>
        </w:rPr>
      </w:pPr>
      <w:r>
        <w:rPr>
          <w:rFonts w:hint="default" w:ascii="Times New Roman" w:hAnsi="Times New Roman" w:cs="Times New Roman"/>
          <w:szCs w:val="28"/>
        </w:rPr>
        <w:t>根据兴安县全域旅游总体规划的总体目标和旅游资源分布特点，加快促进旅游产业空间结构优化，继续推进“一轴两翼”的全域旅游开发大格局。以灵渠、湘江为轴线，大力发展历史文化遗产旅游和红色文化旅游；以漓江源生态休闲度假养生区、湘江源古风乡野探源区为“两翼”，大力发展生态、养生、民族风情、古村落等旅游文化产业。进一步挖掘兴安古城历史文化资源，强调对历史文化的修补，将灵渠范围内作为一个整体景区进行打造，丰富古城风貌区的旅游内涵。</w:t>
      </w:r>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（二）建设一流文旅融合目的地</w:t>
      </w:r>
    </w:p>
    <w:p>
      <w:pPr>
        <w:ind w:firstLine="560"/>
        <w:rPr>
          <w:rFonts w:hint="default" w:ascii="Times New Roman" w:hAnsi="Times New Roman" w:cs="Times New Roman"/>
          <w:szCs w:val="28"/>
        </w:rPr>
      </w:pPr>
      <w:r>
        <w:rPr>
          <w:rFonts w:hint="default" w:ascii="Times New Roman" w:hAnsi="Times New Roman" w:cs="Times New Roman"/>
          <w:szCs w:val="28"/>
        </w:rPr>
        <w:t>依托桂林国际旅游胜地建设机遇，实施差异化发展战略，充分发挥兴安生态资源、文旅（红色）资源、农林资源优势，加强旅游资源整合开发，加快推进旅游与文化、生态、农业融合发展，调整旅游产品结构。突出“湘江红”特色，依托得天独厚的红色资源优势，打响“长征精神.点亮兴安”系列品牌，建设长征国家文化公园(兴安段)、湘江战役中央纵队界首渡江遗址公园、红军长征翻越老山界博物馆、《突破湘江》实景演出等，着力把兴安打造成全国红色旅游胜地、红色教育文化培训基地、研学体验中心。汇聚“灵渠金”的影响力，着力推动灵渠保护与利用，推动历史古迹胜迹重光、山水文化再现，开展文化体验、山水体验、民俗体验和体育运动、户外运动、极限运动等。彰显“山水绿”的辐射力，做精做强灵渠、猫儿山生态观光休闲康养旅游，引进国内外高端医疗技术、人才和设备，大力发展中医药、瑶医药等医疗服务，加大养生养老、健康管理、疗养度假、康复护理、智慧医疗等高品质服务供给，积极承办国际国内知名体育赛事，建成广西康养休闲旅游示范基地。</w:t>
      </w:r>
    </w:p>
    <w:p>
      <w:pPr>
        <w:ind w:firstLine="562"/>
        <w:outlineLvl w:val="2"/>
        <w:rPr>
          <w:rFonts w:hint="default" w:ascii="黑体" w:hAnsi="黑体" w:eastAsia="黑体" w:cs="黑体"/>
          <w:b w:val="0"/>
          <w:bCs w:val="0"/>
          <w:sz w:val="28"/>
          <w:szCs w:val="28"/>
        </w:rPr>
      </w:pPr>
      <w:bookmarkStart w:id="85" w:name="_Toc151734563"/>
      <w:r>
        <w:rPr>
          <w:rFonts w:hint="default" w:ascii="黑体" w:hAnsi="黑体" w:eastAsia="黑体" w:cs="黑体"/>
          <w:b w:val="0"/>
          <w:bCs w:val="0"/>
          <w:sz w:val="28"/>
          <w:szCs w:val="28"/>
        </w:rPr>
        <w:t>四、节约高效利用资源能源</w:t>
      </w:r>
      <w:bookmarkEnd w:id="85"/>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（一）提升能源清洁高效利用水平</w:t>
      </w:r>
    </w:p>
    <w:p>
      <w:pPr>
        <w:ind w:firstLine="562"/>
        <w:rPr>
          <w:rFonts w:hint="default" w:ascii="Times New Roman" w:hAnsi="Times New Roman" w:cs="Times New Roman"/>
          <w:szCs w:val="28"/>
        </w:rPr>
      </w:pPr>
      <w:r>
        <w:rPr>
          <w:rFonts w:hint="default" w:ascii="Times New Roman" w:hAnsi="Times New Roman" w:cs="Times New Roman"/>
          <w:b/>
          <w:bCs/>
          <w:szCs w:val="28"/>
        </w:rPr>
        <w:t>积极发展风能等新能源。</w:t>
      </w:r>
      <w:r>
        <w:rPr>
          <w:rFonts w:hint="default" w:ascii="Times New Roman" w:hAnsi="Times New Roman" w:cs="Times New Roman"/>
          <w:szCs w:val="28"/>
        </w:rPr>
        <w:t>重点是巩固城乡电网改造成果，进一步改善供电设施，完善农村小水电资源、农村沼气池、生物质能开发建设和开发利用风能等新能源。大力推进兴安兴安县农村光电微风项目建设。积极推动兴安县抽水蓄能电站项目建设。改革城乡供气体系，提高市场化率。大力推进煤炭减量替代，合理控制煤炭消费增长。</w:t>
      </w:r>
    </w:p>
    <w:p>
      <w:pPr>
        <w:ind w:firstLine="562"/>
        <w:rPr>
          <w:rFonts w:hint="default" w:ascii="Times New Roman" w:hAnsi="Times New Roman" w:cs="Times New Roman"/>
          <w:szCs w:val="28"/>
        </w:rPr>
      </w:pPr>
      <w:r>
        <w:rPr>
          <w:rFonts w:hint="default" w:ascii="Times New Roman" w:hAnsi="Times New Roman" w:cs="Times New Roman"/>
          <w:b/>
          <w:bCs/>
          <w:szCs w:val="28"/>
        </w:rPr>
        <w:t>鼓励使用节能设备和节能技术。</w:t>
      </w:r>
      <w:r>
        <w:rPr>
          <w:rFonts w:hint="default" w:ascii="Times New Roman" w:hAnsi="Times New Roman" w:cs="Times New Roman"/>
          <w:szCs w:val="28"/>
        </w:rPr>
        <w:t>推动冶金、水泥、建材等传统高耗能行业实施节能改造、提高能效，加快高耗能落后企业、产能、设备的淘汰和退出。深入推进建筑、交通、公共机构等重点领域节能。推动余热余压余能回收利用，推进生活垃圾和污水处理厂污泥能源化利用。</w:t>
      </w:r>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（二）高标准实施节水行动</w:t>
      </w:r>
    </w:p>
    <w:p>
      <w:pPr>
        <w:ind w:firstLine="560"/>
        <w:rPr>
          <w:rFonts w:hint="default" w:ascii="Times New Roman" w:hAnsi="Times New Roman" w:cs="Times New Roman"/>
          <w:szCs w:val="28"/>
        </w:rPr>
      </w:pPr>
      <w:r>
        <w:rPr>
          <w:rFonts w:hint="default" w:ascii="Times New Roman" w:hAnsi="Times New Roman" w:cs="Times New Roman"/>
          <w:szCs w:val="28"/>
        </w:rPr>
        <w:t>实施最严格的水资源管理制度，落实用水总量控制、用水效率控制，严格取水许可审批管理，当取用水总量已达到或超过控制指标时，暂停审批建设项目新增取水，对取用水总量接近控制指标的地区，限制审批新增取水。优化水资源利用和供给结构，到2030年，生活、工业、生态配置水量呈上升趋势，农业配置水量呈下降趋势，地表水用水量逐年提高，地下水用水量逐渐减少。规划期内重点改进全县农业灌溉和工业工艺技术设备，降低用水量，提高人民节水意识，提升用水效率。</w:t>
      </w:r>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（三）全面推进节约集约用地</w:t>
      </w:r>
    </w:p>
    <w:p>
      <w:pPr>
        <w:ind w:firstLine="560"/>
        <w:rPr>
          <w:rFonts w:hint="default" w:ascii="Times New Roman" w:hAnsi="Times New Roman" w:cs="Times New Roman"/>
          <w:szCs w:val="28"/>
        </w:rPr>
      </w:pPr>
      <w:r>
        <w:rPr>
          <w:rFonts w:hint="default" w:ascii="Times New Roman" w:hAnsi="Times New Roman" w:cs="Times New Roman"/>
          <w:szCs w:val="28"/>
        </w:rPr>
        <w:t>按照“优化存量、提升质量”的策略，严格控制城乡建设用地总量和开发强度，促进村庄建设用地绝对占比下降，城镇用地适度扩大，进一步优化城乡建设用地结构，实现城乡建设用地相对减量，建设用地优先用于城镇集中开发和保障国家、自治区重点基础设施项目用地需求。践行绿色发展理念，加快形成集约高效的城镇空间，促进土地利用方式和经济发展方式转变，到2026年，全县人均城镇建设用地控制在120平方米以内，每万元GDP地耗下降到45平方米内、工业用地地均增加值提升至2250万元。加强城镇范围内“旧城镇”、“旧村庄”、“旧厂矿”三类低效用地的改造，对不同类型低效用地采取差别化再开发策略。推动批而未供土地盘活和闲置土地处置工作，全面落实“增存挂钩”机制，将年度新增建设用地计划与盘活存量建设用地总量挂钩。加强商业街区、公共活动中心、新建住宅小区、商务办公区、城市道路、公园广场等区域的地下空间开发利用。</w:t>
      </w:r>
    </w:p>
    <w:p>
      <w:pPr>
        <w:pStyle w:val="20"/>
        <w:rPr>
          <w:rFonts w:hint="default" w:ascii="Times New Roman" w:hAnsi="Times New Roman" w:cs="Times New Roman"/>
          <w:color w:val="auto"/>
        </w:rPr>
      </w:pPr>
    </w:p>
    <w:p>
      <w:pPr>
        <w:ind w:firstLine="0" w:firstLineChars="0"/>
        <w:jc w:val="center"/>
        <w:outlineLvl w:val="1"/>
        <w:rPr>
          <w:rFonts w:hint="eastAsia" w:ascii="黑体" w:hAnsi="黑体" w:eastAsia="黑体" w:cs="黑体"/>
          <w:sz w:val="32"/>
          <w:szCs w:val="24"/>
        </w:rPr>
      </w:pPr>
      <w:bookmarkStart w:id="86" w:name="_Toc153528957"/>
      <w:bookmarkStart w:id="87" w:name="_Toc151734564"/>
      <w:r>
        <w:rPr>
          <w:rFonts w:hint="eastAsia" w:ascii="黑体" w:hAnsi="黑体" w:eastAsia="黑体" w:cs="黑体"/>
          <w:sz w:val="32"/>
          <w:szCs w:val="24"/>
        </w:rPr>
        <w:t>第五节 以高品质生活打造宜居宜游生态康养目的地</w:t>
      </w:r>
      <w:bookmarkEnd w:id="86"/>
      <w:bookmarkEnd w:id="87"/>
    </w:p>
    <w:p>
      <w:pPr>
        <w:ind w:firstLine="562"/>
        <w:outlineLvl w:val="2"/>
        <w:rPr>
          <w:rFonts w:hint="default" w:ascii="黑体" w:hAnsi="黑体" w:eastAsia="黑体" w:cs="黑体"/>
          <w:b w:val="0"/>
          <w:bCs w:val="0"/>
          <w:sz w:val="28"/>
          <w:szCs w:val="28"/>
        </w:rPr>
      </w:pPr>
      <w:bookmarkStart w:id="88" w:name="_Toc151734565"/>
      <w:r>
        <w:rPr>
          <w:rFonts w:hint="default" w:ascii="黑体" w:hAnsi="黑体" w:eastAsia="黑体" w:cs="黑体"/>
          <w:b w:val="0"/>
          <w:bCs w:val="0"/>
          <w:sz w:val="28"/>
          <w:szCs w:val="28"/>
        </w:rPr>
        <w:t>一、推进城乡环卫一体化建设</w:t>
      </w:r>
      <w:bookmarkEnd w:id="88"/>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（一）深化生活垃圾资源循环利用</w:t>
      </w:r>
    </w:p>
    <w:p>
      <w:pPr>
        <w:ind w:firstLine="562"/>
        <w:rPr>
          <w:rFonts w:hint="default" w:ascii="Times New Roman" w:hAnsi="Times New Roman" w:cs="Times New Roman"/>
          <w:bCs/>
          <w:szCs w:val="28"/>
        </w:rPr>
      </w:pPr>
      <w:r>
        <w:rPr>
          <w:rFonts w:hint="default" w:ascii="Times New Roman" w:hAnsi="Times New Roman" w:cs="Times New Roman"/>
          <w:b/>
          <w:bCs/>
          <w:szCs w:val="28"/>
        </w:rPr>
        <w:t>健全生活垃圾收运处置体系。</w:t>
      </w:r>
      <w:r>
        <w:rPr>
          <w:rFonts w:hint="default" w:ascii="Times New Roman" w:hAnsi="Times New Roman" w:cs="Times New Roman"/>
          <w:bCs/>
          <w:szCs w:val="28"/>
        </w:rPr>
        <w:t>积极向上争取资金，加快将未纳入市场化的偏远自然村纳入市场化管理，确保全县环境卫生不留死角，达到城区及农村清扫保洁、垃圾收运处置全覆盖；加强生活垃圾“收集－转运－处置”全过程管理，全面推广“垃圾密封转运”模式，推进生活垃圾袋装化、容器化、密封化，逐步实现分类收集和无害化处理，形成健全完善的生活垃圾处理处置管理体系。</w:t>
      </w:r>
    </w:p>
    <w:p>
      <w:pPr>
        <w:ind w:firstLine="562"/>
        <w:rPr>
          <w:rFonts w:hint="default" w:ascii="Times New Roman" w:hAnsi="Times New Roman" w:cs="Times New Roman"/>
          <w:bCs/>
          <w:szCs w:val="28"/>
        </w:rPr>
      </w:pPr>
      <w:r>
        <w:rPr>
          <w:rFonts w:hint="default" w:ascii="Times New Roman" w:hAnsi="Times New Roman" w:cs="Times New Roman"/>
          <w:b/>
          <w:bCs/>
          <w:szCs w:val="28"/>
        </w:rPr>
        <w:t>积极推进生活垃圾分类工作。</w:t>
      </w:r>
      <w:r>
        <w:rPr>
          <w:rFonts w:hint="default" w:ascii="Times New Roman" w:hAnsi="Times New Roman" w:cs="Times New Roman"/>
          <w:bCs/>
          <w:szCs w:val="28"/>
        </w:rPr>
        <w:t>在“村收、镇运、县处理”的生活垃圾收集处置模式的基础上，进一步推进城乡垃圾分类收集，推动生活垃圾无害化、减量化、资源化。加快推进县域内餐厨垃圾、大件垃圾、有害垃圾等末端处理设施项目建设，合理布局建设乡（镇）生活垃圾分类收集、转运等设施。按照自治区生活垃圾分类工作要求，深入开展生活垃圾分类“进机关、进学校、进社区、进家庭、进企业、进市场、进酒店、进窗口”宣传活动，有效提高民众垃圾分类意识。</w:t>
      </w:r>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（二）提升生活污水收集处理效能</w:t>
      </w:r>
    </w:p>
    <w:p>
      <w:pPr>
        <w:ind w:firstLine="562"/>
        <w:rPr>
          <w:rFonts w:hint="default" w:ascii="Times New Roman" w:hAnsi="Times New Roman" w:cs="Times New Roman"/>
          <w:bCs/>
          <w:szCs w:val="28"/>
        </w:rPr>
      </w:pPr>
      <w:r>
        <w:rPr>
          <w:rFonts w:hint="default" w:ascii="Times New Roman" w:hAnsi="Times New Roman" w:cs="Times New Roman"/>
          <w:b/>
          <w:bCs/>
          <w:szCs w:val="28"/>
        </w:rPr>
        <w:t>加快城乡生活污水处理设施建设。</w:t>
      </w:r>
      <w:r>
        <w:rPr>
          <w:rFonts w:hint="default" w:ascii="Times New Roman" w:hAnsi="Times New Roman" w:cs="Times New Roman"/>
          <w:bCs/>
          <w:szCs w:val="28"/>
        </w:rPr>
        <w:t>加快补齐崔家乡、漠川乡、白石乡污水处理厂及配套设施短板，持续完善农村污水管网建设，并因地制宜推进一批农村分散式污水处理设施建设，提高污水收集率和处理率。村屯污水处理工程建设前应充分考虑村庄发展规划、城镇管网距离、人口规模与聚集程度、经济条件、地形地貌等因素，因地制宜采取纳入城镇污水管网、建设集中或者分散处理设施等治理方式收集处理农村生活污水，逐步提高农村生活污水处理设施项目运转率。</w:t>
      </w:r>
    </w:p>
    <w:p>
      <w:pPr>
        <w:keepNext w:val="0"/>
        <w:keepLines w:val="0"/>
        <w:pageBreakBefore w:val="0"/>
        <w:widowControl w:val="0"/>
        <w:kinsoku/>
        <w:wordWrap/>
        <w:overflowPunct/>
        <w:topLinePunct w:val="0"/>
        <w:autoSpaceDE/>
        <w:autoSpaceDN/>
        <w:bidi w:val="0"/>
        <w:adjustRightInd/>
        <w:snapToGrid/>
        <w:spacing w:line="580" w:lineRule="exact"/>
        <w:ind w:firstLine="562"/>
        <w:textAlignment w:val="auto"/>
        <w:rPr>
          <w:rFonts w:hint="default" w:ascii="Times New Roman" w:hAnsi="Times New Roman" w:cs="Times New Roman"/>
          <w:bCs/>
          <w:szCs w:val="28"/>
        </w:rPr>
      </w:pPr>
      <w:r>
        <w:rPr>
          <w:rFonts w:hint="default" w:ascii="Times New Roman" w:hAnsi="Times New Roman" w:cs="Times New Roman"/>
          <w:b/>
          <w:szCs w:val="28"/>
        </w:rPr>
        <w:t>规范生活污水处理设施运维管理。</w:t>
      </w:r>
      <w:r>
        <w:rPr>
          <w:rFonts w:hint="default" w:ascii="Times New Roman" w:hAnsi="Times New Roman" w:cs="Times New Roman"/>
          <w:bCs/>
          <w:szCs w:val="28"/>
        </w:rPr>
        <w:t>健全农村生活污水处理设施运行维护体系，鼓励通过PPP模式等市场化运作，将界首镇、溶江镇、高尚镇、严关镇、华江瑶族乡农村污水处理设施打捆，委托第三方专业化单位运行维护管理，有效实现污水处理设施的物尽其用和稳定运行；建立奖惩制度和动态督查机制，建立政府主导的村镇生活污水处理设施定期巡查制度，定期不定期地检查污水接入、管网衔接等运行状况，做到发现问题及时整改；增强村民环保意识，制定村规民约，约束和引导村民在生活习惯方面转观念、改陋习、树新风，提高农村生活污水收集率。</w:t>
      </w:r>
    </w:p>
    <w:p>
      <w:pPr>
        <w:keepNext w:val="0"/>
        <w:keepLines w:val="0"/>
        <w:pageBreakBefore w:val="0"/>
        <w:widowControl w:val="0"/>
        <w:kinsoku/>
        <w:wordWrap/>
        <w:overflowPunct/>
        <w:topLinePunct w:val="0"/>
        <w:autoSpaceDE/>
        <w:autoSpaceDN/>
        <w:bidi w:val="0"/>
        <w:adjustRightInd/>
        <w:snapToGrid/>
        <w:spacing w:line="580" w:lineRule="exact"/>
        <w:ind w:firstLine="562"/>
        <w:textAlignment w:val="auto"/>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（三）全力保障城乡饮水水质安全</w:t>
      </w:r>
    </w:p>
    <w:p>
      <w:pPr>
        <w:keepNext w:val="0"/>
        <w:keepLines w:val="0"/>
        <w:pageBreakBefore w:val="0"/>
        <w:widowControl w:val="0"/>
        <w:kinsoku/>
        <w:wordWrap/>
        <w:overflowPunct/>
        <w:topLinePunct w:val="0"/>
        <w:autoSpaceDE/>
        <w:autoSpaceDN/>
        <w:bidi w:val="0"/>
        <w:adjustRightInd/>
        <w:snapToGrid/>
        <w:spacing w:line="580" w:lineRule="exact"/>
        <w:ind w:firstLine="562"/>
        <w:textAlignment w:val="auto"/>
        <w:rPr>
          <w:rFonts w:hint="default" w:ascii="Times New Roman" w:hAnsi="Times New Roman" w:cs="Times New Roman"/>
          <w:szCs w:val="28"/>
        </w:rPr>
      </w:pPr>
      <w:r>
        <w:rPr>
          <w:rFonts w:hint="default" w:ascii="Times New Roman" w:hAnsi="Times New Roman" w:cs="Times New Roman"/>
          <w:b/>
          <w:szCs w:val="28"/>
        </w:rPr>
        <w:t>加强饮用水水源地监管。</w:t>
      </w:r>
      <w:r>
        <w:rPr>
          <w:rFonts w:hint="default" w:ascii="Times New Roman" w:hAnsi="Times New Roman" w:cs="Times New Roman"/>
          <w:szCs w:val="28"/>
        </w:rPr>
        <w:t>加大饮用水水源保护力度，严格饮用水水源保护区建设项目环保审批，饮用水水源保护区禁止排污，从源头上强化控制水污染物。推进集中式饮用水水源保护区规范化建设，加快乡（镇）集中式饮用水水源地界碑、界牌、宣传牌和防护隔离设施的设置。全面排查整治镇级集中式饮用水水源保护区内的违法违规问题，到2025年底，全面完成县内集中式饮用水水源地环境保护专项整治。</w:t>
      </w:r>
    </w:p>
    <w:p>
      <w:pPr>
        <w:keepNext w:val="0"/>
        <w:keepLines w:val="0"/>
        <w:pageBreakBefore w:val="0"/>
        <w:widowControl w:val="0"/>
        <w:kinsoku/>
        <w:wordWrap/>
        <w:overflowPunct/>
        <w:topLinePunct w:val="0"/>
        <w:autoSpaceDE/>
        <w:autoSpaceDN/>
        <w:bidi w:val="0"/>
        <w:adjustRightInd/>
        <w:snapToGrid/>
        <w:spacing w:line="580" w:lineRule="exact"/>
        <w:ind w:firstLine="562"/>
        <w:textAlignment w:val="auto"/>
        <w:rPr>
          <w:rFonts w:hint="default" w:ascii="Times New Roman" w:hAnsi="Times New Roman" w:cs="Times New Roman"/>
          <w:szCs w:val="28"/>
        </w:rPr>
      </w:pPr>
      <w:r>
        <w:rPr>
          <w:rFonts w:hint="default" w:ascii="Times New Roman" w:hAnsi="Times New Roman" w:cs="Times New Roman"/>
          <w:b/>
          <w:szCs w:val="28"/>
        </w:rPr>
        <w:t>全力保障村镇供水安全。</w:t>
      </w:r>
      <w:r>
        <w:rPr>
          <w:rFonts w:hint="default" w:ascii="Times New Roman" w:hAnsi="Times New Roman" w:cs="Times New Roman"/>
          <w:bCs/>
          <w:szCs w:val="28"/>
        </w:rPr>
        <w:t>加快补齐镇村供水设施短板，推进上桂峡水库扩容工程建设，新建和改建提升</w:t>
      </w:r>
      <w:r>
        <w:rPr>
          <w:rFonts w:hint="default" w:ascii="Times New Roman" w:hAnsi="Times New Roman" w:cs="Times New Roman"/>
        </w:rPr>
        <w:t>界首镇、溶江镇、高尚镇、严关镇、华江瑶族乡</w:t>
      </w:r>
      <w:r>
        <w:rPr>
          <w:rFonts w:hint="default" w:ascii="Times New Roman" w:hAnsi="Times New Roman" w:cs="Times New Roman"/>
          <w:bCs/>
          <w:szCs w:val="28"/>
        </w:rPr>
        <w:t>5个乡（镇）自来水厂，因地制宜建设与改造农村供水工程，扩大规模化供水服务范围。深入开展农村安全饮水问题排查整改，进一步摸清全县农村饮水工程运行现状，对排查发现的问题建立工作台账，因地制宜分类精准施策，抓紧解决落实到位，确保农村饮水安全问题动态清零。</w:t>
      </w:r>
      <w:r>
        <w:rPr>
          <w:rFonts w:hint="default" w:ascii="Times New Roman" w:hAnsi="Times New Roman" w:cs="Times New Roman"/>
          <w:szCs w:val="28"/>
        </w:rPr>
        <w:t>加大农村饮水安全卫生教育与培训，提高农村人饮项目管理人员的专业素质以及村民安全卫生饮水的意识。到2025年，村镇饮用水卫生合格率达到100%。到2030年，村镇饮用水卫生合格率稳定在100%水平保障供水安全。</w:t>
      </w:r>
    </w:p>
    <w:p>
      <w:pPr>
        <w:keepNext w:val="0"/>
        <w:keepLines w:val="0"/>
        <w:pageBreakBefore w:val="0"/>
        <w:widowControl w:val="0"/>
        <w:kinsoku/>
        <w:wordWrap/>
        <w:overflowPunct/>
        <w:topLinePunct w:val="0"/>
        <w:autoSpaceDE/>
        <w:autoSpaceDN/>
        <w:bidi w:val="0"/>
        <w:adjustRightInd/>
        <w:snapToGrid/>
        <w:spacing w:line="580" w:lineRule="exact"/>
        <w:ind w:firstLine="562"/>
        <w:textAlignment w:val="auto"/>
        <w:outlineLvl w:val="2"/>
        <w:rPr>
          <w:rFonts w:hint="default" w:ascii="黑体" w:hAnsi="黑体" w:eastAsia="黑体" w:cs="黑体"/>
          <w:b w:val="0"/>
          <w:bCs w:val="0"/>
          <w:sz w:val="28"/>
          <w:szCs w:val="28"/>
        </w:rPr>
      </w:pPr>
      <w:bookmarkStart w:id="89" w:name="_Toc151734566"/>
      <w:r>
        <w:rPr>
          <w:rFonts w:hint="default" w:ascii="黑体" w:hAnsi="黑体" w:eastAsia="黑体" w:cs="黑体"/>
          <w:b w:val="0"/>
          <w:bCs w:val="0"/>
          <w:sz w:val="28"/>
          <w:szCs w:val="28"/>
        </w:rPr>
        <w:t>二、加快建设绿色宜居县城</w:t>
      </w:r>
      <w:bookmarkEnd w:id="89"/>
    </w:p>
    <w:p>
      <w:pPr>
        <w:keepNext w:val="0"/>
        <w:keepLines w:val="0"/>
        <w:pageBreakBefore w:val="0"/>
        <w:widowControl w:val="0"/>
        <w:kinsoku/>
        <w:wordWrap/>
        <w:overflowPunct/>
        <w:topLinePunct w:val="0"/>
        <w:autoSpaceDE/>
        <w:autoSpaceDN/>
        <w:bidi w:val="0"/>
        <w:adjustRightInd/>
        <w:snapToGrid/>
        <w:spacing w:line="580" w:lineRule="exact"/>
        <w:ind w:firstLine="562"/>
        <w:textAlignment w:val="auto"/>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（一）扎实推进美丽城镇建设</w:t>
      </w:r>
    </w:p>
    <w:p>
      <w:pPr>
        <w:ind w:firstLine="562"/>
        <w:rPr>
          <w:rFonts w:hint="default" w:ascii="Times New Roman" w:hAnsi="Times New Roman" w:cs="Times New Roman"/>
          <w:szCs w:val="28"/>
        </w:rPr>
      </w:pPr>
      <w:r>
        <w:rPr>
          <w:rFonts w:hint="default" w:ascii="Times New Roman" w:hAnsi="Times New Roman" w:cs="Times New Roman"/>
          <w:b/>
          <w:szCs w:val="28"/>
        </w:rPr>
        <w:t>打造宜居兴安建设。</w:t>
      </w:r>
      <w:r>
        <w:rPr>
          <w:rFonts w:hint="default" w:ascii="Times New Roman" w:hAnsi="Times New Roman" w:cs="Times New Roman"/>
          <w:szCs w:val="28"/>
        </w:rPr>
        <w:t>加快“大县城”建设步伐，分类分步有序推进县城绿化美化亮化工作，积极推进城市管理综合改革，提升城市品位。继续做好灵渠片区城市更新（一期）项目，加快推进1000户保障性租赁住房建设及老旧小区、背街小巷改造，逐步疏解提升老城区。完成县城雨污分流管网工程建设，抓好灵渠水厂厂区及配套管网工程、县城市规划馆建设，完善城市功能。加快全国“深化乡村地名服务 点亮美好家园”试点地区建设，打造宜居宜业宜乐宜游新兴安。</w:t>
      </w:r>
    </w:p>
    <w:p>
      <w:pPr>
        <w:ind w:firstLine="562"/>
        <w:rPr>
          <w:rFonts w:hint="default" w:ascii="Times New Roman" w:hAnsi="Times New Roman" w:cs="Times New Roman"/>
          <w:szCs w:val="28"/>
        </w:rPr>
      </w:pPr>
      <w:r>
        <w:rPr>
          <w:rFonts w:hint="default" w:ascii="Times New Roman" w:hAnsi="Times New Roman" w:cs="Times New Roman"/>
          <w:b/>
          <w:szCs w:val="28"/>
        </w:rPr>
        <w:t>打造生态宜居小镇。</w:t>
      </w:r>
      <w:r>
        <w:rPr>
          <w:rFonts w:hint="default" w:ascii="Times New Roman" w:hAnsi="Times New Roman" w:cs="Times New Roman"/>
          <w:szCs w:val="28"/>
        </w:rPr>
        <w:t>立足地域优势，深挖发展潜力，因地制宜塑造乡（镇）特色风貌，推动华江瑶族乡紧抓“国家级休闲康养度假区”建设机遇，创新探索将猫儿山生态旅游胜地独特的生态绿色、历史红色与瑶乡原色有机结合，致力打造生态康养小镇；</w:t>
      </w:r>
      <w:r>
        <w:rPr>
          <w:rFonts w:hint="default" w:ascii="Times New Roman" w:hAnsi="Times New Roman" w:cs="Times New Roman"/>
        </w:rPr>
        <w:t>兴安镇、溶江镇、湘漓镇、严关镇</w:t>
      </w:r>
      <w:r>
        <w:rPr>
          <w:rFonts w:hint="default" w:ascii="Times New Roman" w:hAnsi="Times New Roman" w:cs="Times New Roman"/>
          <w:szCs w:val="28"/>
        </w:rPr>
        <w:t>依托灵渠丰富的水系资源、深厚的水文化底蕴和良好的产业基础，以“一渠连两江”为轴线，突出统筹协调、连片规划、水岸同治、产业融合，着力打造集防洪、生态、景观于一体的治水新路径，建设“文水共融、人水和谐、山水相依”的水美乡村。</w:t>
      </w:r>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（二）提升园林绿化景观品质</w:t>
      </w:r>
    </w:p>
    <w:p>
      <w:pPr>
        <w:ind w:firstLine="562"/>
        <w:rPr>
          <w:rFonts w:hint="default" w:ascii="Times New Roman" w:hAnsi="Times New Roman" w:cs="Times New Roman"/>
          <w:szCs w:val="28"/>
        </w:rPr>
      </w:pPr>
      <w:r>
        <w:rPr>
          <w:rFonts w:hint="default" w:ascii="Times New Roman" w:hAnsi="Times New Roman" w:cs="Times New Roman"/>
          <w:b/>
          <w:szCs w:val="28"/>
        </w:rPr>
        <w:t>完善城镇绿地系统。</w:t>
      </w:r>
      <w:r>
        <w:rPr>
          <w:rFonts w:hint="default" w:ascii="Times New Roman" w:hAnsi="Times New Roman" w:cs="Times New Roman"/>
          <w:szCs w:val="28"/>
        </w:rPr>
        <w:t>结合社区生活圈建设，推进城区街道、广场、住宅区、河两岸花草林木的园林化建设，增加社区公园、口袋公园的数量和服务能力，实现公园绿地、广场绿地步行5分钟覆盖率达75%。依托湘江、灵渠丰富的水系资源、深厚的水文化底蕴和良好的产业基础，高质量推进江河两岸碧道建设，营造城市滨水开放空间。积极推进乡村绿化美化工程，稳定建设乐满地生态景观公园绿地，按需求建设防护绿地，全面提高城区绿化覆盖率和生态品位。</w:t>
      </w:r>
    </w:p>
    <w:p>
      <w:pPr>
        <w:ind w:firstLine="562"/>
        <w:rPr>
          <w:rFonts w:hint="default" w:ascii="Times New Roman" w:hAnsi="Times New Roman" w:cs="Times New Roman"/>
          <w:szCs w:val="28"/>
        </w:rPr>
      </w:pPr>
      <w:r>
        <w:rPr>
          <w:rFonts w:hint="default" w:ascii="Times New Roman" w:hAnsi="Times New Roman" w:cs="Times New Roman"/>
          <w:b/>
          <w:szCs w:val="28"/>
        </w:rPr>
        <w:t>提升道路绿化品质。</w:t>
      </w:r>
      <w:r>
        <w:rPr>
          <w:rFonts w:hint="default" w:ascii="Times New Roman" w:hAnsi="Times New Roman" w:cs="Times New Roman"/>
          <w:szCs w:val="28"/>
        </w:rPr>
        <w:t>结合城市自然环境，合理选择适宜兴安本地的绿化植物，增加灵渠大道、迎宾大道绿化面积，实施三大水库移民安置区河滨东路、河滨西路沿线生态景观绿化带建设，提升道路绿化环境和景观视觉，使新城区新建道路具备一定的绿化特色，具有较强的景观识别性。衔接全区（市）交通发展规划，依法合规开展公路、铁路两侧绿化建设，不断提升城市环境和面貌。</w:t>
      </w:r>
    </w:p>
    <w:p>
      <w:pPr>
        <w:pStyle w:val="11"/>
        <w:ind w:firstLine="562"/>
        <w:rPr>
          <w:rFonts w:hint="default" w:ascii="Times New Roman" w:hAnsi="Times New Roman" w:cs="Times New Roman"/>
          <w:sz w:val="28"/>
          <w:szCs w:val="28"/>
        </w:rPr>
      </w:pPr>
      <w:r>
        <w:rPr>
          <w:rFonts w:hint="default" w:ascii="Times New Roman" w:hAnsi="Times New Roman" w:cs="Times New Roman"/>
          <w:b/>
          <w:sz w:val="28"/>
          <w:szCs w:val="28"/>
        </w:rPr>
        <w:t>加强园林绿化养护。</w:t>
      </w:r>
      <w:r>
        <w:rPr>
          <w:rFonts w:hint="default" w:ascii="Times New Roman" w:hAnsi="Times New Roman" w:cs="Times New Roman"/>
          <w:sz w:val="28"/>
          <w:szCs w:val="28"/>
        </w:rPr>
        <w:t>建立健全城区绿化苗木日常管护机制，定期开展绿篱补植、行道树修剪、浇水施肥、病虫害防治等工作，避免出现缺株死枝、黄土裸露等现象。加强古树名木保护管理，积极开展古树名木摸底巡查，不断加大对古树名木的定期“体检”，确保古树名木根深叶茂。制定切合实际的地方养护标准，保障园林绿化养护资金投入，加强养护人员技术培训，提升园林绿化管理养护效率、养护质量和景观效果。</w:t>
      </w:r>
    </w:p>
    <w:p>
      <w:pPr>
        <w:ind w:firstLine="562"/>
        <w:outlineLvl w:val="2"/>
        <w:rPr>
          <w:rFonts w:hint="default" w:ascii="黑体" w:hAnsi="黑体" w:eastAsia="黑体" w:cs="黑体"/>
          <w:b w:val="0"/>
          <w:bCs w:val="0"/>
          <w:sz w:val="28"/>
          <w:szCs w:val="28"/>
        </w:rPr>
      </w:pPr>
      <w:bookmarkStart w:id="90" w:name="_Toc151734567"/>
      <w:r>
        <w:rPr>
          <w:rFonts w:hint="default" w:ascii="黑体" w:hAnsi="黑体" w:eastAsia="黑体" w:cs="黑体"/>
          <w:b w:val="0"/>
          <w:bCs w:val="0"/>
          <w:sz w:val="28"/>
          <w:szCs w:val="28"/>
        </w:rPr>
        <w:t>三、助推美丽乡村提质增颜</w:t>
      </w:r>
      <w:bookmarkEnd w:id="90"/>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（一）加大农村环境综合整治力度</w:t>
      </w:r>
    </w:p>
    <w:p>
      <w:pPr>
        <w:ind w:firstLine="562"/>
        <w:rPr>
          <w:rFonts w:hint="default" w:ascii="Times New Roman" w:hAnsi="Times New Roman" w:cs="Times New Roman"/>
          <w:szCs w:val="28"/>
          <w:highlight w:val="magenta"/>
        </w:rPr>
      </w:pPr>
      <w:r>
        <w:rPr>
          <w:rFonts w:hint="default" w:ascii="Times New Roman" w:hAnsi="Times New Roman" w:cs="Times New Roman"/>
          <w:b/>
          <w:szCs w:val="28"/>
        </w:rPr>
        <w:t>加强村容村貌引导。</w:t>
      </w:r>
      <w:r>
        <w:rPr>
          <w:rFonts w:hint="default" w:ascii="Times New Roman" w:hAnsi="Times New Roman" w:cs="Times New Roman"/>
          <w:szCs w:val="28"/>
        </w:rPr>
        <w:t>积极有序推进村庄规划编制，引导和支持设计下乡，不断优化村庄生产生活生态空间，促进村庄形态与自然环境、传统文化相得益彰。加强村庄风貌引导，以农房为主体，依托严关镇、漠川乡境内古树等自然景观，以及蒋氏祠堂、灵渠四贤祠等人文景观，营造和整治提升具有桂风壮韵特色的村容村貌。在集中连片居住的水库移民村屯，实施人居环境整村提升工程。健全村庄应急管理体系，合理布局应急避难场所和防汛、消防等救灾设施设备，畅通安全通道。进一步加强屯级道路、通户道路建设。有条件的地方开展农村无障碍环境建设。</w:t>
      </w:r>
    </w:p>
    <w:p>
      <w:pPr>
        <w:ind w:firstLine="562"/>
        <w:rPr>
          <w:rFonts w:hint="default" w:ascii="Times New Roman" w:hAnsi="Times New Roman" w:cs="Times New Roman"/>
          <w:szCs w:val="28"/>
        </w:rPr>
      </w:pPr>
      <w:r>
        <w:rPr>
          <w:rFonts w:hint="default" w:ascii="Times New Roman" w:hAnsi="Times New Roman" w:cs="Times New Roman"/>
          <w:b/>
          <w:bCs/>
          <w:szCs w:val="28"/>
        </w:rPr>
        <w:t>推进乡村绿化美化。</w:t>
      </w:r>
      <w:r>
        <w:rPr>
          <w:rFonts w:hint="default" w:ascii="Times New Roman" w:hAnsi="Times New Roman" w:cs="Times New Roman"/>
          <w:szCs w:val="28"/>
        </w:rPr>
        <w:t>深入实施乡村绿化美化提升行动，突出保护乡村山体田园、河湖湿地、原生植被等，统筹推进山水林田湖草海湿地系统治理。引导鼓励村民通过栽植果蔬、花木等开展庭院绿化。因地制宜采取微田园、微菜园、微果园、微茶园、微花园，以及绿廊、种植攀墙藤蔓植物、屋顶绿化等方式加强乡村绿化，在农村“四旁”（水旁、路旁、村旁、宅旁）推进村庄绿化，打造一批绿色乡村。加强古树名木科学保护，破除和预防古树名木树基地面过度硬化。支持有条件地区开展森林乡村建设，实施水系连通及水美乡村建设试点。</w:t>
      </w:r>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（二）持续开展实施农村“厕所革命”</w:t>
      </w:r>
    </w:p>
    <w:p>
      <w:pPr>
        <w:ind w:firstLine="562"/>
        <w:rPr>
          <w:rFonts w:hint="default" w:ascii="Times New Roman" w:hAnsi="Times New Roman" w:cs="Times New Roman"/>
          <w:szCs w:val="28"/>
        </w:rPr>
      </w:pPr>
      <w:r>
        <w:rPr>
          <w:rFonts w:hint="default" w:ascii="Times New Roman" w:hAnsi="Times New Roman" w:cs="Times New Roman"/>
          <w:b/>
          <w:szCs w:val="28"/>
        </w:rPr>
        <w:t>实施农村无害化卫生厕所覆盖工程。</w:t>
      </w:r>
      <w:r>
        <w:rPr>
          <w:rFonts w:hint="default" w:ascii="Times New Roman" w:hAnsi="Times New Roman" w:cs="Times New Roman"/>
          <w:szCs w:val="28"/>
        </w:rPr>
        <w:t>持续推进农村厕所革命，加快改造和建设农村无害化卫生厕所，稳步提高农村卫生无害化厕所普及率。在行政村所在自然村或集中连片300户以上的自然村、易地搬迁安置点和乡村旅游景点景区，以及重点流域、饮用水水源地所在村庄等，开展乡村公厕、中小学校公厕、乡村旅游景区公厕等改造和建设。</w:t>
      </w:r>
    </w:p>
    <w:p>
      <w:pPr>
        <w:ind w:firstLine="562"/>
        <w:rPr>
          <w:rFonts w:hint="default" w:ascii="Times New Roman" w:hAnsi="Times New Roman" w:cs="Times New Roman"/>
          <w:szCs w:val="28"/>
        </w:rPr>
      </w:pPr>
      <w:r>
        <w:rPr>
          <w:rFonts w:hint="default" w:ascii="Times New Roman" w:hAnsi="Times New Roman" w:cs="Times New Roman"/>
          <w:b/>
          <w:szCs w:val="28"/>
        </w:rPr>
        <w:t>提高农村改厕和后期管护质量。</w:t>
      </w:r>
      <w:r>
        <w:rPr>
          <w:rFonts w:hint="default" w:ascii="Times New Roman" w:hAnsi="Times New Roman" w:cs="Times New Roman"/>
          <w:szCs w:val="28"/>
        </w:rPr>
        <w:t>加大对农村户厕建设技术规范、运行维护规范等的宣传贯彻、技术培训和推广应用力度，加强对改厕施工质量和产品质量的监管。到2025年，实现全县农村厕所使用率、管护率、无害化处理率均高于全国平均水平。</w:t>
      </w:r>
    </w:p>
    <w:p>
      <w:pPr>
        <w:ind w:firstLine="562"/>
        <w:outlineLvl w:val="2"/>
        <w:rPr>
          <w:rFonts w:hint="default" w:ascii="黑体" w:hAnsi="黑体" w:eastAsia="黑体" w:cs="黑体"/>
          <w:b w:val="0"/>
          <w:bCs w:val="0"/>
          <w:sz w:val="28"/>
          <w:szCs w:val="28"/>
        </w:rPr>
      </w:pPr>
      <w:bookmarkStart w:id="91" w:name="_Toc151734568"/>
      <w:r>
        <w:rPr>
          <w:rFonts w:hint="default" w:ascii="黑体" w:hAnsi="黑体" w:eastAsia="黑体" w:cs="黑体"/>
          <w:b w:val="0"/>
          <w:bCs w:val="0"/>
          <w:sz w:val="28"/>
          <w:szCs w:val="28"/>
        </w:rPr>
        <w:t>四、引导培育绿色生活方式</w:t>
      </w:r>
      <w:bookmarkEnd w:id="91"/>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（一）大力推广绿色建筑</w:t>
      </w:r>
    </w:p>
    <w:p>
      <w:pPr>
        <w:ind w:firstLine="562"/>
        <w:rPr>
          <w:rFonts w:hint="default" w:ascii="Times New Roman" w:hAnsi="Times New Roman" w:cs="Times New Roman"/>
          <w:szCs w:val="28"/>
        </w:rPr>
      </w:pPr>
      <w:r>
        <w:rPr>
          <w:rFonts w:hint="default" w:ascii="Times New Roman" w:hAnsi="Times New Roman" w:cs="Times New Roman"/>
          <w:b/>
          <w:szCs w:val="28"/>
        </w:rPr>
        <w:t>加快实施建筑节能改造。</w:t>
      </w:r>
      <w:r>
        <w:rPr>
          <w:rFonts w:hint="default" w:ascii="Times New Roman" w:hAnsi="Times New Roman" w:cs="Times New Roman"/>
          <w:szCs w:val="28"/>
        </w:rPr>
        <w:t>以政策为导向、以奖代罚为手段，在立项、审批、设计、施工和验收等各个环节督促、鼓励新建建筑达到绿色建筑标准；结合旧城区改造、棚户区改造、立面综合整治和既有建筑抗震加固等工作，同步实施居住建筑节能改造。</w:t>
      </w:r>
    </w:p>
    <w:p>
      <w:pPr>
        <w:ind w:firstLine="562"/>
        <w:rPr>
          <w:rFonts w:hint="default" w:ascii="Times New Roman" w:hAnsi="Times New Roman" w:cs="Times New Roman"/>
          <w:szCs w:val="28"/>
        </w:rPr>
      </w:pPr>
      <w:r>
        <w:rPr>
          <w:rFonts w:hint="default" w:ascii="Times New Roman" w:hAnsi="Times New Roman" w:cs="Times New Roman"/>
          <w:b/>
          <w:szCs w:val="28"/>
        </w:rPr>
        <w:t>推进建筑垃圾综合利用。</w:t>
      </w:r>
      <w:r>
        <w:rPr>
          <w:rFonts w:hint="default" w:ascii="Times New Roman" w:hAnsi="Times New Roman" w:cs="Times New Roman"/>
          <w:szCs w:val="28"/>
        </w:rPr>
        <w:t>大力发展节能低碳建筑，全面推广绿色低碳建材，推动建筑材料循环利用。落实建设单位建筑垃圾减量化的主体责任，有序提高绿色建筑占新建建筑的比例。</w:t>
      </w:r>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（二）提升绿色办公意识</w:t>
      </w:r>
    </w:p>
    <w:p>
      <w:pPr>
        <w:ind w:firstLine="562"/>
        <w:rPr>
          <w:rFonts w:hint="default" w:ascii="Times New Roman" w:hAnsi="Times New Roman" w:cs="Times New Roman"/>
          <w:szCs w:val="28"/>
        </w:rPr>
      </w:pPr>
      <w:r>
        <w:rPr>
          <w:rFonts w:hint="default" w:ascii="Times New Roman" w:hAnsi="Times New Roman" w:cs="Times New Roman"/>
          <w:b/>
          <w:szCs w:val="28"/>
        </w:rPr>
        <w:t>倡导绿色办公。</w:t>
      </w:r>
      <w:r>
        <w:rPr>
          <w:rFonts w:hint="default" w:ascii="Times New Roman" w:hAnsi="Times New Roman" w:cs="Times New Roman"/>
          <w:szCs w:val="28"/>
        </w:rPr>
        <w:t>将“绿色办公”理念融入到各企事业单位的日常活动中。大力开展节能减排工作。进一步推进公务汽车节油，切实抓好空调、照明、电梯节电及办公及其他用电设备节电工作。逐步推行网络无纸化办公，节约纸张。同时激励员工养成无害环境的办公习惯，为经过认证的企事业单位和运营场所提供绿色办公室标识。</w:t>
      </w:r>
    </w:p>
    <w:p>
      <w:pPr>
        <w:ind w:firstLine="562"/>
        <w:rPr>
          <w:rFonts w:hint="default" w:ascii="Times New Roman" w:hAnsi="Times New Roman" w:cs="Times New Roman"/>
          <w:szCs w:val="28"/>
        </w:rPr>
      </w:pPr>
      <w:r>
        <w:rPr>
          <w:rFonts w:hint="default" w:ascii="Times New Roman" w:hAnsi="Times New Roman" w:cs="Times New Roman"/>
          <w:b/>
          <w:szCs w:val="28"/>
        </w:rPr>
        <w:t>推行绿色采购。</w:t>
      </w:r>
      <w:r>
        <w:rPr>
          <w:rFonts w:hint="default" w:ascii="Times New Roman" w:hAnsi="Times New Roman" w:cs="Times New Roman"/>
          <w:szCs w:val="28"/>
        </w:rPr>
        <w:t>倡导政府绿色采购，政府在采购过程中充分考量环境因素，优先购买国家认可的、环境标志产品认证机构认证的产品。对政府实行绿色采购的主体责任、绿色采购标准和绿色采购清单的制定和发布进行明确规定。</w:t>
      </w:r>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（三）倡导绿色低碳消费</w:t>
      </w:r>
    </w:p>
    <w:p>
      <w:pPr>
        <w:ind w:firstLine="562"/>
        <w:rPr>
          <w:rFonts w:hint="default" w:ascii="Times New Roman" w:hAnsi="Times New Roman" w:cs="Times New Roman"/>
          <w:szCs w:val="28"/>
        </w:rPr>
      </w:pPr>
      <w:r>
        <w:rPr>
          <w:rFonts w:hint="default" w:ascii="Times New Roman" w:hAnsi="Times New Roman" w:cs="Times New Roman"/>
          <w:b/>
          <w:szCs w:val="28"/>
        </w:rPr>
        <w:t>提高节能节水器具普及率。</w:t>
      </w:r>
      <w:r>
        <w:rPr>
          <w:rFonts w:hint="default" w:ascii="Times New Roman" w:hAnsi="Times New Roman" w:cs="Times New Roman"/>
          <w:szCs w:val="28"/>
        </w:rPr>
        <w:t>推行绿色照明规划设计理念，提高LED灯等高效光源在公共场所使用率；推广使用太阳能热水系统、空气源热泵、太阳灶等清洁能源利用设备。对景观用水、绿化用水、道路冲洗以及消费用水等非饮用水，尽量采用再生水、雨水等非传统水源。</w:t>
      </w:r>
    </w:p>
    <w:p>
      <w:pPr>
        <w:ind w:firstLine="562"/>
        <w:rPr>
          <w:rFonts w:hint="default" w:ascii="Times New Roman" w:hAnsi="Times New Roman" w:cs="Times New Roman"/>
          <w:szCs w:val="28"/>
        </w:rPr>
      </w:pPr>
      <w:r>
        <w:rPr>
          <w:rFonts w:hint="default" w:ascii="Times New Roman" w:hAnsi="Times New Roman" w:cs="Times New Roman"/>
          <w:b/>
          <w:szCs w:val="28"/>
        </w:rPr>
        <w:t>鼓励公众绿色出行。</w:t>
      </w:r>
      <w:r>
        <w:rPr>
          <w:rFonts w:hint="default" w:ascii="Times New Roman" w:hAnsi="Times New Roman" w:cs="Times New Roman"/>
          <w:szCs w:val="28"/>
        </w:rPr>
        <w:t>建立健全公共交通便民化计划，构建新能源公交、公共自行车、新能源出租车一体的大公交系统，提高城乡公交覆盖面和出行比例。构建城区慢行系统，建设自驾车营地、自行车风景道等“休闲型”交通配套设施及服务，倡导绿色出行。</w:t>
      </w:r>
    </w:p>
    <w:p>
      <w:pPr>
        <w:ind w:firstLine="562"/>
        <w:rPr>
          <w:rFonts w:hint="default" w:ascii="Times New Roman" w:hAnsi="Times New Roman" w:cs="Times New Roman"/>
          <w:szCs w:val="28"/>
        </w:rPr>
      </w:pPr>
      <w:r>
        <w:rPr>
          <w:rFonts w:hint="default" w:ascii="Times New Roman" w:hAnsi="Times New Roman" w:cs="Times New Roman"/>
          <w:b/>
          <w:szCs w:val="28"/>
        </w:rPr>
        <w:t>倡导低碳消费习惯。</w:t>
      </w:r>
      <w:r>
        <w:rPr>
          <w:rFonts w:hint="default" w:ascii="Times New Roman" w:hAnsi="Times New Roman" w:cs="Times New Roman"/>
          <w:szCs w:val="28"/>
        </w:rPr>
        <w:t>升级“限塑令”，对超市、商场、农贸市场、批发市场等开展垃圾分类专项整治，从严限制塑料制品使用。开展居民小区、学校、公共消费场所等生活垃圾“零废弃”管理试点。在保障公平和效率的基础上，提高居民节能节水积极性。开展节水型机关、企业（单位）、社区创建活动，形成全社会节约用水的良好氛围。</w:t>
      </w:r>
    </w:p>
    <w:p>
      <w:pPr>
        <w:pStyle w:val="20"/>
        <w:rPr>
          <w:rFonts w:hint="default" w:ascii="Times New Roman" w:hAnsi="Times New Roman" w:cs="Times New Roman"/>
          <w:color w:val="auto"/>
        </w:rPr>
      </w:pPr>
    </w:p>
    <w:p>
      <w:pPr>
        <w:ind w:firstLine="0" w:firstLineChars="0"/>
        <w:jc w:val="center"/>
        <w:outlineLvl w:val="1"/>
        <w:rPr>
          <w:rFonts w:hint="eastAsia" w:ascii="黑体" w:hAnsi="黑体" w:eastAsia="黑体" w:cs="黑体"/>
          <w:sz w:val="32"/>
          <w:szCs w:val="24"/>
        </w:rPr>
      </w:pPr>
      <w:bookmarkStart w:id="92" w:name="_Toc153528958"/>
      <w:bookmarkStart w:id="93" w:name="_Toc151734569"/>
      <w:bookmarkStart w:id="94" w:name="_Toc148253507"/>
      <w:r>
        <w:rPr>
          <w:rFonts w:hint="eastAsia" w:ascii="黑体" w:hAnsi="黑体" w:eastAsia="黑体" w:cs="黑体"/>
          <w:sz w:val="32"/>
          <w:szCs w:val="24"/>
        </w:rPr>
        <w:t>第六节 以高热度文化推动桂北生态品牌出新出彩</w:t>
      </w:r>
      <w:bookmarkEnd w:id="92"/>
      <w:bookmarkEnd w:id="93"/>
    </w:p>
    <w:bookmarkEnd w:id="94"/>
    <w:p>
      <w:pPr>
        <w:ind w:firstLine="562"/>
        <w:outlineLvl w:val="2"/>
        <w:rPr>
          <w:rFonts w:hint="default" w:ascii="黑体" w:hAnsi="黑体" w:eastAsia="黑体" w:cs="黑体"/>
          <w:b w:val="0"/>
          <w:bCs w:val="0"/>
          <w:sz w:val="28"/>
          <w:szCs w:val="28"/>
        </w:rPr>
      </w:pPr>
      <w:bookmarkStart w:id="95" w:name="_Toc151734570"/>
      <w:bookmarkStart w:id="96" w:name="_Toc148253508"/>
      <w:r>
        <w:rPr>
          <w:rFonts w:hint="default" w:ascii="黑体" w:hAnsi="黑体" w:eastAsia="黑体" w:cs="黑体"/>
          <w:b w:val="0"/>
          <w:bCs w:val="0"/>
          <w:sz w:val="28"/>
          <w:szCs w:val="28"/>
        </w:rPr>
        <w:t>一、培育地方特色生态文化</w:t>
      </w:r>
      <w:bookmarkEnd w:id="95"/>
      <w:bookmarkEnd w:id="96"/>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（一）挖掘弘扬传统生态文化</w:t>
      </w:r>
    </w:p>
    <w:p>
      <w:pPr>
        <w:ind w:firstLine="560"/>
        <w:rPr>
          <w:rFonts w:hint="default" w:ascii="Times New Roman" w:hAnsi="Times New Roman" w:cs="Times New Roman"/>
          <w:szCs w:val="28"/>
        </w:rPr>
      </w:pPr>
      <w:r>
        <w:rPr>
          <w:rFonts w:hint="default" w:ascii="Times New Roman" w:hAnsi="Times New Roman" w:cs="Times New Roman"/>
          <w:szCs w:val="28"/>
        </w:rPr>
        <w:t>结合当地历史文化、红色旅游资源，充分挖掘灵渠文化、三江源、竹文化、茶文化、瑶族文化中的生态文化内涵，厚植生态文化底蕴。加强文化遗产的保护与开发，重点保护灵渠、秦城遗址、古严关等一批历史文化遗址，继续推进灵渠申报世界文化遗产工作，推动秦城遗址公园建设，抢修乳洞岩、秦家大院等文化遗产。加强非物质文化遗产保护，发掘一批具有潜力的非物质文化遗产项目。将生态文化纳入地方公共文化服务体系建设，推动县、镇、村三级文化设施建设，丰富生态文化教育图书、影像资料。联合地方文化团体，鼓励文艺工作者采用文学、影视、戏曲、摄影、音乐等形式传播生态文明理念、绿色生活知识。</w:t>
      </w:r>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（二）丰富生态文化产品供给</w:t>
      </w:r>
    </w:p>
    <w:p>
      <w:pPr>
        <w:pStyle w:val="11"/>
        <w:ind w:firstLine="562"/>
        <w:jc w:val="both"/>
        <w:rPr>
          <w:rFonts w:hint="default" w:ascii="Times New Roman" w:hAnsi="Times New Roman" w:cs="Times New Roman"/>
          <w:sz w:val="28"/>
          <w:szCs w:val="28"/>
        </w:rPr>
      </w:pPr>
      <w:r>
        <w:rPr>
          <w:rFonts w:hint="default" w:ascii="Times New Roman" w:hAnsi="Times New Roman" w:cs="Times New Roman"/>
          <w:b/>
          <w:bCs/>
          <w:sz w:val="28"/>
          <w:szCs w:val="28"/>
        </w:rPr>
        <w:t>打造猫儿山生态旅游品牌。</w:t>
      </w:r>
      <w:r>
        <w:rPr>
          <w:rFonts w:hint="default" w:ascii="Times New Roman" w:hAnsi="Times New Roman" w:cs="Times New Roman"/>
          <w:sz w:val="28"/>
          <w:szCs w:val="28"/>
        </w:rPr>
        <w:t>整合老山界、三江源、特色民族村寨等资源，加快推进猫儿山5A旅游景区创建，发展生态观光康养休闲旅游。完善旅游公路、酒店等配套设施建设。开发漂流、攀岩、温泉、骑行健身等旅游产品，丰富运动休闲类体验活动。适度开发野生林果、山草药材、古树茶、野山菌等森林生态产品，强化公众对森林生态系统生态功能和实用价值的认知。开发竹文化体验旅游产品，让游客“住竹屋”、“吃竹食”、“饮竹茶”、“观竹海”，开发竹林冥想、瑜伽、竹疗等养生产品，培养自然人心融合一体的生态审美观。</w:t>
      </w:r>
    </w:p>
    <w:p>
      <w:pPr>
        <w:pStyle w:val="11"/>
        <w:ind w:firstLine="562"/>
        <w:jc w:val="both"/>
        <w:rPr>
          <w:rFonts w:hint="default" w:ascii="Times New Roman" w:hAnsi="Times New Roman" w:cs="Times New Roman"/>
          <w:sz w:val="28"/>
          <w:szCs w:val="28"/>
        </w:rPr>
      </w:pPr>
      <w:r>
        <w:rPr>
          <w:rFonts w:hint="default" w:ascii="Times New Roman" w:hAnsi="Times New Roman" w:cs="Times New Roman"/>
          <w:b/>
          <w:bCs/>
          <w:sz w:val="28"/>
          <w:szCs w:val="28"/>
        </w:rPr>
        <w:t>打造灵渠文化旅游品牌。</w:t>
      </w:r>
      <w:r>
        <w:rPr>
          <w:rFonts w:hint="default" w:ascii="Times New Roman" w:hAnsi="Times New Roman" w:cs="Times New Roman"/>
          <w:sz w:val="28"/>
          <w:szCs w:val="28"/>
        </w:rPr>
        <w:t>持续推进灵渠申遗及5A级景区创建，提升灵渠历史文化旅游线路。挖掘运用灵渠历史文化资源，结合两岸乡村旅游资源，发展特色民宿餐厅、农耕体验、渔业娱乐等业态，丰富旅游产品类型。提升沿河景观，完善两岸住宿、餐饮、购物、娱乐等服务设施配套，打造滨水酒吧街、滨水休闲道等。</w:t>
      </w:r>
    </w:p>
    <w:p>
      <w:pPr>
        <w:pStyle w:val="11"/>
        <w:ind w:firstLine="562"/>
        <w:jc w:val="both"/>
        <w:rPr>
          <w:rFonts w:hint="default" w:ascii="Times New Roman" w:hAnsi="Times New Roman" w:cs="Times New Roman"/>
          <w:sz w:val="28"/>
          <w:szCs w:val="28"/>
        </w:rPr>
      </w:pPr>
      <w:r>
        <w:rPr>
          <w:rFonts w:hint="default" w:ascii="Times New Roman" w:hAnsi="Times New Roman" w:cs="Times New Roman"/>
          <w:b/>
          <w:bCs/>
          <w:sz w:val="28"/>
          <w:szCs w:val="28"/>
        </w:rPr>
        <w:t>打造华江乡康养旅游品牌。</w:t>
      </w:r>
      <w:r>
        <w:rPr>
          <w:rFonts w:hint="default" w:ascii="Times New Roman" w:hAnsi="Times New Roman" w:cs="Times New Roman"/>
          <w:sz w:val="28"/>
          <w:szCs w:val="28"/>
        </w:rPr>
        <w:t>充分利用猫儿山、漓江源优质生态环境、瑶医瑶药文化等资源，做优六垌茶、中草药等产业，发展康养旅游业。引进国内外高端医疗技术、人才和设备，大力发展中医药、瑶医药等医疗服务，重点推进建设华江瑶族蛇伤专科医院、中老年病康复中心等，加大养生养老、健康管理、疗养度假、康复护理、智慧医疗等高品质服务供给，建成广西康养休闲旅游示范基地。</w:t>
      </w:r>
    </w:p>
    <w:p>
      <w:pPr>
        <w:pStyle w:val="11"/>
        <w:ind w:firstLine="562"/>
        <w:jc w:val="both"/>
        <w:rPr>
          <w:rFonts w:hint="default" w:ascii="Times New Roman" w:hAnsi="Times New Roman" w:cs="Times New Roman"/>
          <w:sz w:val="28"/>
          <w:szCs w:val="28"/>
        </w:rPr>
      </w:pPr>
      <w:r>
        <w:rPr>
          <w:rFonts w:hint="default" w:ascii="Times New Roman" w:hAnsi="Times New Roman" w:cs="Times New Roman"/>
          <w:b/>
          <w:bCs/>
          <w:sz w:val="28"/>
          <w:szCs w:val="28"/>
        </w:rPr>
        <w:t>打造乡村休闲旅游品牌。</w:t>
      </w:r>
      <w:r>
        <w:rPr>
          <w:rFonts w:hint="default" w:ascii="Times New Roman" w:hAnsi="Times New Roman" w:cs="Times New Roman"/>
          <w:sz w:val="28"/>
          <w:szCs w:val="28"/>
        </w:rPr>
        <w:t>充分利用乡村果蔬基地、银杏林、古村古镇、民族村寨、红色文化等乡村文化旅游资源，发展乡村休闲旅游。建设“陡江古韵田园综合体”、高尚“金满田园综合体”、漠川“翠珠红裳温克葡萄田园综合体”、界首“红色湘江蜜桔田园综合体”、华江“水韵华江田园综合体”等一批田园综合体，建设集科普教育、休闲观光、娱乐体验等功能于一体的乡村旅游目的地。开发果蔬采摘、水上娱乐、田园生活展示、农业科普等体验活动，向游客普及有机食品、生态种养等知识，倡导绿色低碳生活方式。合理利用民族村寨、古村古镇，发展有历史记忆、地域特色、民族特点的红色旅游小镇。推进民族特色村寨建设与乡村旅游融合发展，完善“华江九寨”基础设施建设，开发特色民宿、民俗文化体验活动。</w:t>
      </w:r>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（三）建设生态文化载体</w:t>
      </w:r>
    </w:p>
    <w:p>
      <w:pPr>
        <w:pStyle w:val="11"/>
        <w:ind w:firstLine="560"/>
        <w:jc w:val="both"/>
        <w:rPr>
          <w:rFonts w:hint="default" w:ascii="Times New Roman" w:hAnsi="Times New Roman" w:cs="Times New Roman"/>
          <w:sz w:val="28"/>
          <w:szCs w:val="28"/>
        </w:rPr>
      </w:pPr>
      <w:r>
        <w:rPr>
          <w:rFonts w:hint="default" w:ascii="Times New Roman" w:hAnsi="Times New Roman" w:cs="Times New Roman"/>
          <w:sz w:val="28"/>
          <w:szCs w:val="28"/>
        </w:rPr>
        <w:t>提升县内主要文化设施和旅游景区环境教育和生态文化展示功能，在灵渠博物</w:t>
      </w:r>
      <w:r>
        <w:rPr>
          <w:rFonts w:hint="default" w:ascii="Times New Roman" w:hAnsi="Times New Roman" w:cs="Times New Roman"/>
          <w:sz w:val="28"/>
          <w:szCs w:val="28"/>
          <w:lang w:eastAsia="zh-CN"/>
        </w:rPr>
        <w:t>院</w:t>
      </w:r>
      <w:r>
        <w:rPr>
          <w:rFonts w:hint="default" w:ascii="Times New Roman" w:hAnsi="Times New Roman" w:cs="Times New Roman"/>
          <w:sz w:val="28"/>
          <w:szCs w:val="28"/>
        </w:rPr>
        <w:t>、图书馆、乡（镇）文化站中增加生态环境保护有关图书、影像资料，完善猫儿山、灵渠等重点景区及乡村旅游基地环境教育设施。提升灵渠生态文化教育功能，在灵渠博物院增加灵渠水生态环境科普展示区，展示特色动植物图片及影像资料，建立讲解系统，传播生态知识。举办竹制品展销活动，培育人与自然和谐共生的生态价值观。在县域内风电场选择适宜地点设置宣传展示栏，讲解风力发电相比传统能源的减污降碳效应，引导公众践行低碳生活方式。到2027年，把灵渠博物院建设成为本地生态环境宣传教育基地。</w:t>
      </w:r>
    </w:p>
    <w:p>
      <w:pPr>
        <w:ind w:firstLine="562"/>
        <w:outlineLvl w:val="2"/>
        <w:rPr>
          <w:rFonts w:hint="default" w:ascii="黑体" w:hAnsi="黑体" w:eastAsia="黑体" w:cs="黑体"/>
          <w:b w:val="0"/>
          <w:bCs w:val="0"/>
          <w:sz w:val="28"/>
          <w:szCs w:val="28"/>
        </w:rPr>
      </w:pPr>
      <w:bookmarkStart w:id="97" w:name="_Toc151734571"/>
      <w:bookmarkStart w:id="98" w:name="_Toc148253509"/>
      <w:r>
        <w:rPr>
          <w:rFonts w:hint="default" w:ascii="黑体" w:hAnsi="黑体" w:eastAsia="黑体" w:cs="黑体"/>
          <w:b w:val="0"/>
          <w:bCs w:val="0"/>
          <w:sz w:val="28"/>
          <w:szCs w:val="28"/>
        </w:rPr>
        <w:t>二、加强生态文明宣传教育</w:t>
      </w:r>
      <w:bookmarkEnd w:id="97"/>
      <w:bookmarkEnd w:id="98"/>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（一）构建全民生态教育体系</w:t>
      </w:r>
    </w:p>
    <w:p>
      <w:pPr>
        <w:ind w:firstLine="560"/>
        <w:rPr>
          <w:rFonts w:hint="default" w:ascii="Times New Roman" w:hAnsi="Times New Roman" w:cs="Times New Roman"/>
          <w:szCs w:val="28"/>
        </w:rPr>
      </w:pPr>
      <w:r>
        <w:rPr>
          <w:rFonts w:hint="default" w:ascii="Times New Roman" w:hAnsi="Times New Roman" w:cs="Times New Roman"/>
          <w:szCs w:val="28"/>
        </w:rPr>
        <w:t>将生态文明教育纳入学校教育教学活动安排，鼓励和支持大中小学生参与课外生态文明实践活动，培养青少年生态文明行为习惯。开展生态文明知识进机关、进社区、进学校、进企业、进乡村等宣传教育活动，提升各类人群的生态文明意识和环保科学素养。加大领导干部生态环境保护方面培训力度，按期制定党员干部生态文明培训计划，设立生态文明建设专题培训班，在各级主体班次和全员网络学习中，组织好生态文明相关课程的学习，确保全县副科级以上在职党政领导干部参加生态文明培训人数比例达到100%。</w:t>
      </w:r>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（二）广泛开展生态文明宣传</w:t>
      </w:r>
    </w:p>
    <w:p>
      <w:pPr>
        <w:pStyle w:val="11"/>
        <w:ind w:firstLine="584"/>
        <w:jc w:val="both"/>
        <w:rPr>
          <w:rFonts w:hint="default" w:ascii="Times New Roman" w:hAnsi="Times New Roman" w:cs="Times New Roman"/>
          <w:sz w:val="28"/>
          <w:szCs w:val="28"/>
        </w:rPr>
      </w:pPr>
      <w:r>
        <w:rPr>
          <w:rFonts w:hint="default" w:ascii="Times New Roman" w:hAnsi="Times New Roman" w:cs="Times New Roman"/>
          <w:spacing w:val="6"/>
          <w:sz w:val="28"/>
          <w:szCs w:val="28"/>
        </w:rPr>
        <w:t>持续开展生态文明宣传活动，唱响生态文明建设主旋律</w:t>
      </w:r>
      <w:r>
        <w:rPr>
          <w:rFonts w:hint="default" w:ascii="Times New Roman" w:hAnsi="Times New Roman" w:cs="Times New Roman"/>
          <w:sz w:val="28"/>
          <w:szCs w:val="28"/>
        </w:rPr>
        <w:t>。以“5·22”生物多样性日、“6·5世界环境日”全国低碳日等环保宣传活动日为契机，会同宣传、文化、艺术团体等，每年举办环境文化活动，营造全社会共同参与生态文明建设的良好氛围。多形式举办环保征集评选活动，将优秀作品在电视台等媒体、市民广场等公共场所播出展示，提高公众参加生态文明宣传的积极性。设立生态文明标语、公益广告，充分利用兴安县微信公众号、微博、网站等新媒体，传播生态文明知识、生态价值观。</w:t>
      </w:r>
    </w:p>
    <w:p>
      <w:pPr>
        <w:ind w:firstLine="562"/>
        <w:outlineLvl w:val="2"/>
        <w:rPr>
          <w:rFonts w:hint="default" w:ascii="黑体" w:hAnsi="黑体" w:eastAsia="黑体" w:cs="黑体"/>
          <w:b w:val="0"/>
          <w:bCs w:val="0"/>
          <w:sz w:val="28"/>
          <w:szCs w:val="28"/>
        </w:rPr>
      </w:pPr>
      <w:bookmarkStart w:id="99" w:name="_Toc151734572"/>
      <w:bookmarkStart w:id="100" w:name="_Toc148253510"/>
      <w:r>
        <w:rPr>
          <w:rFonts w:hint="default" w:ascii="黑体" w:hAnsi="黑体" w:eastAsia="黑体" w:cs="黑体"/>
          <w:b w:val="0"/>
          <w:bCs w:val="0"/>
          <w:sz w:val="28"/>
          <w:szCs w:val="28"/>
        </w:rPr>
        <w:t>三、推进生态文明共建共享</w:t>
      </w:r>
      <w:bookmarkEnd w:id="99"/>
      <w:bookmarkEnd w:id="100"/>
    </w:p>
    <w:p>
      <w:pPr>
        <w:ind w:firstLine="562"/>
        <w:outlineLvl w:val="3"/>
        <w:rPr>
          <w:rFonts w:hint="default" w:ascii="楷体_GB2312" w:hAnsi="楷体_GB2312" w:eastAsia="楷体_GB2312" w:cs="楷体_GB2312"/>
          <w:b w:val="0"/>
          <w:bCs w:val="0"/>
          <w:szCs w:val="28"/>
        </w:rPr>
      </w:pPr>
      <w:r>
        <w:rPr>
          <w:rFonts w:hint="default" w:ascii="楷体_GB2312" w:hAnsi="楷体_GB2312" w:eastAsia="楷体_GB2312" w:cs="楷体_GB2312"/>
          <w:b w:val="0"/>
          <w:bCs w:val="0"/>
          <w:szCs w:val="28"/>
        </w:rPr>
        <w:t>（一）深入开展绿色生活创建行动</w:t>
      </w:r>
    </w:p>
    <w:p>
      <w:pPr>
        <w:pStyle w:val="11"/>
        <w:ind w:firstLine="560"/>
        <w:jc w:val="both"/>
        <w:rPr>
          <w:rFonts w:hint="default" w:ascii="Times New Roman" w:hAnsi="Times New Roman" w:cs="Times New Roman"/>
          <w:sz w:val="28"/>
          <w:szCs w:val="28"/>
        </w:rPr>
      </w:pPr>
      <w:r>
        <w:rPr>
          <w:rFonts w:hint="default" w:ascii="Times New Roman" w:hAnsi="Times New Roman" w:cs="Times New Roman"/>
          <w:sz w:val="28"/>
          <w:szCs w:val="28"/>
        </w:rPr>
        <w:t>全面开展节约型机关、绿色家庭、绿色学校、绿色社区、绿色出行、绿色商场、绿色建筑等创建行动，广泛推广简约适度、绿色低碳、文明健康的生活理念和生活方式，塑造一批成效突出、特点鲜明的绿色生活优秀典型案例。</w:t>
      </w:r>
    </w:p>
    <w:p>
      <w:pPr>
        <w:ind w:firstLine="562"/>
        <w:outlineLvl w:val="3"/>
        <w:rPr>
          <w:rFonts w:hint="eastAsia" w:ascii="楷体_GB2312" w:hAnsi="楷体_GB2312" w:eastAsia="楷体_GB2312" w:cs="楷体_GB2312"/>
          <w:b w:val="0"/>
          <w:bCs w:val="0"/>
          <w:szCs w:val="28"/>
        </w:rPr>
      </w:pPr>
      <w:r>
        <w:rPr>
          <w:rFonts w:hint="eastAsia" w:ascii="楷体_GB2312" w:hAnsi="楷体_GB2312" w:eastAsia="楷体_GB2312" w:cs="楷体_GB2312"/>
          <w:b w:val="0"/>
          <w:bCs w:val="0"/>
          <w:szCs w:val="28"/>
        </w:rPr>
        <w:t>（二）畅通生态文明公众参与渠道</w:t>
      </w:r>
    </w:p>
    <w:p>
      <w:pPr>
        <w:pStyle w:val="11"/>
        <w:ind w:firstLine="560"/>
        <w:jc w:val="both"/>
        <w:rPr>
          <w:rFonts w:hint="default" w:ascii="Times New Roman" w:hAnsi="Times New Roman" w:cs="Times New Roman"/>
          <w:sz w:val="28"/>
          <w:szCs w:val="28"/>
        </w:rPr>
      </w:pPr>
      <w:r>
        <w:rPr>
          <w:rFonts w:hint="default" w:ascii="Times New Roman" w:hAnsi="Times New Roman" w:cs="Times New Roman"/>
          <w:sz w:val="28"/>
          <w:szCs w:val="28"/>
        </w:rPr>
        <w:t>加强生态环境信息公开，逐步扩展信息公开范围，持续加大生态环境质量信息、生态环境监管信息、重大生态环境政策解读等生态环境信息公开力度。完善公众参与政府政策决策的有效渠道和合理机制，加强公众意见采纳和反馈，推动公众的实质性参与和有效性参与。完善群众信访接待制度，拓宽和畅通群众举报投诉渠道。健全公众监督参与和反馈机制，吸纳更多的社会力量参与生态文明建设。</w:t>
      </w:r>
    </w:p>
    <w:p>
      <w:pPr>
        <w:pStyle w:val="11"/>
        <w:ind w:firstLine="560"/>
        <w:jc w:val="both"/>
        <w:rPr>
          <w:rFonts w:hint="default" w:ascii="Times New Roman" w:hAnsi="Times New Roman" w:cs="Times New Roman"/>
          <w:sz w:val="28"/>
          <w:szCs w:val="28"/>
        </w:rPr>
      </w:pPr>
      <w:r>
        <w:rPr>
          <w:rFonts w:hint="default" w:ascii="Times New Roman" w:hAnsi="Times New Roman" w:cs="Times New Roman"/>
          <w:sz w:val="28"/>
          <w:szCs w:val="28"/>
        </w:rPr>
        <w:br w:type="page"/>
      </w:r>
    </w:p>
    <w:p>
      <w:pPr>
        <w:spacing w:after="190" w:afterLines="50"/>
        <w:ind w:firstLine="0" w:firstLineChars="0"/>
        <w:jc w:val="center"/>
        <w:outlineLvl w:val="0"/>
        <w:rPr>
          <w:rFonts w:hint="default" w:ascii="Times New Roman" w:hAnsi="Times New Roman" w:eastAsia="黑体" w:cs="Times New Roman"/>
          <w:b w:val="0"/>
          <w:bCs w:val="0"/>
          <w:sz w:val="36"/>
          <w:szCs w:val="36"/>
        </w:rPr>
      </w:pPr>
      <w:bookmarkStart w:id="101" w:name="_Toc153528959"/>
      <w:bookmarkStart w:id="102" w:name="_Toc151734573"/>
      <w:r>
        <w:rPr>
          <w:rFonts w:hint="default" w:ascii="Times New Roman" w:hAnsi="Times New Roman" w:eastAsia="黑体" w:cs="Times New Roman"/>
          <w:b w:val="0"/>
          <w:bCs w:val="0"/>
          <w:sz w:val="36"/>
          <w:szCs w:val="36"/>
        </w:rPr>
        <w:t>第四章 重点工程</w:t>
      </w:r>
      <w:bookmarkEnd w:id="101"/>
      <w:bookmarkEnd w:id="102"/>
    </w:p>
    <w:p>
      <w:pPr>
        <w:ind w:firstLine="565" w:firstLineChars="202"/>
        <w:rPr>
          <w:rFonts w:hint="default" w:ascii="Times New Roman" w:hAnsi="Times New Roman" w:cs="Times New Roman"/>
        </w:rPr>
      </w:pPr>
      <w:r>
        <w:rPr>
          <w:rFonts w:hint="default" w:ascii="Times New Roman" w:hAnsi="Times New Roman" w:cs="Times New Roman"/>
        </w:rPr>
        <w:t>围绕兴安县生态文明建设目标，规划相应的建设项目，突出重点领域和主要任务，协调社会经济发展和资源、环境的关系，谋求可持续发展。有序扎实推进各项生态文明建设项目，发挥重点项目的支撑作用，促成生态文明建设各项工作的落实。</w:t>
      </w:r>
    </w:p>
    <w:p>
      <w:pPr>
        <w:ind w:firstLine="565" w:firstLineChars="202"/>
        <w:rPr>
          <w:rFonts w:hint="default" w:ascii="Times New Roman" w:hAnsi="Times New Roman" w:cs="Times New Roman"/>
        </w:rPr>
      </w:pPr>
      <w:r>
        <w:rPr>
          <w:rFonts w:hint="default" w:ascii="Times New Roman" w:hAnsi="Times New Roman" w:cs="Times New Roman"/>
        </w:rPr>
        <w:t>根据兴安县国家生态文明建设示范区规划要求以及上述原则，针对兴安县创建生态文明建设的优势与不足之处，兴安县生态文明建设重点工程按照“生态制度、生态安全、生态空间、生态经济、生态生活、生态文化”六大体系进行归类。六大体系共涉及31项重点工程，总投资约134.4945亿元.各体系的项目投资估算见表4.1-1，具体建设内容及项目投资情况见表4.1-2。</w:t>
      </w:r>
    </w:p>
    <w:p>
      <w:pPr>
        <w:ind w:left="0" w:leftChars="0" w:firstLine="0" w:firstLineChars="0"/>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表4.1-1 重点工程项目投资估算</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2"/>
        <w:gridCol w:w="2813"/>
        <w:gridCol w:w="2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2512" w:type="dxa"/>
            <w:vAlign w:val="center"/>
          </w:tcPr>
          <w:p>
            <w:pPr>
              <w:spacing w:line="240" w:lineRule="auto"/>
              <w:ind w:left="3" w:leftChars="-3" w:hanging="11" w:hangingChars="4"/>
              <w:jc w:val="center"/>
              <w:rPr>
                <w:rFonts w:hint="default" w:ascii="Times New Roman" w:hAnsi="Times New Roman" w:eastAsia="仿宋" w:cs="Times New Roman"/>
                <w:sz w:val="28"/>
                <w:szCs w:val="28"/>
              </w:rPr>
            </w:pPr>
            <w:bookmarkStart w:id="103" w:name="_Hlk98353381"/>
            <w:r>
              <w:rPr>
                <w:rFonts w:hint="default" w:ascii="Times New Roman" w:hAnsi="Times New Roman" w:eastAsia="仿宋" w:cs="Times New Roman"/>
                <w:b/>
                <w:bCs/>
                <w:sz w:val="28"/>
                <w:szCs w:val="28"/>
              </w:rPr>
              <w:t>工程类别</w:t>
            </w:r>
          </w:p>
        </w:tc>
        <w:tc>
          <w:tcPr>
            <w:tcW w:w="2813" w:type="dxa"/>
            <w:vAlign w:val="center"/>
          </w:tcPr>
          <w:p>
            <w:pPr>
              <w:spacing w:line="240" w:lineRule="auto"/>
              <w:ind w:left="3" w:leftChars="-3" w:hanging="11" w:hangingChars="4"/>
              <w:jc w:val="center"/>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项目数量</w:t>
            </w:r>
          </w:p>
        </w:tc>
        <w:tc>
          <w:tcPr>
            <w:tcW w:w="2073" w:type="dxa"/>
            <w:vAlign w:val="center"/>
          </w:tcPr>
          <w:p>
            <w:pPr>
              <w:spacing w:line="240" w:lineRule="auto"/>
              <w:ind w:left="3" w:leftChars="-3" w:hanging="11" w:hangingChars="4"/>
              <w:jc w:val="center"/>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投资金额</w:t>
            </w:r>
          </w:p>
          <w:p>
            <w:pPr>
              <w:spacing w:line="240" w:lineRule="auto"/>
              <w:ind w:left="3" w:leftChars="-3" w:hanging="11" w:hangingChars="4"/>
              <w:jc w:val="center"/>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2512" w:type="dxa"/>
            <w:vAlign w:val="center"/>
          </w:tcPr>
          <w:p>
            <w:pPr>
              <w:widowControl/>
              <w:spacing w:line="240" w:lineRule="auto"/>
              <w:ind w:firstLine="0" w:firstLineChars="0"/>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kern w:val="0"/>
                <w:sz w:val="28"/>
                <w:szCs w:val="28"/>
                <w:lang w:bidi="ar"/>
              </w:rPr>
              <w:t>生态制度</w:t>
            </w:r>
          </w:p>
        </w:tc>
        <w:tc>
          <w:tcPr>
            <w:tcW w:w="2813" w:type="dxa"/>
            <w:vAlign w:val="center"/>
          </w:tcPr>
          <w:p>
            <w:pPr>
              <w:widowControl/>
              <w:spacing w:line="240" w:lineRule="auto"/>
              <w:ind w:firstLine="0" w:firstLineChars="0"/>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kern w:val="0"/>
                <w:sz w:val="28"/>
                <w:szCs w:val="28"/>
                <w:lang w:bidi="ar"/>
              </w:rPr>
              <w:t>2</w:t>
            </w:r>
          </w:p>
        </w:tc>
        <w:tc>
          <w:tcPr>
            <w:tcW w:w="2073" w:type="dxa"/>
          </w:tcPr>
          <w:p>
            <w:pPr>
              <w:widowControl/>
              <w:spacing w:line="240" w:lineRule="auto"/>
              <w:ind w:firstLine="0" w:firstLineChars="0"/>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kern w:val="0"/>
                <w:sz w:val="28"/>
                <w:szCs w:val="28"/>
                <w:lang w:bidi="ar"/>
              </w:rPr>
              <w:t>0.0195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512" w:type="dxa"/>
            <w:vAlign w:val="center"/>
          </w:tcPr>
          <w:p>
            <w:pPr>
              <w:widowControl/>
              <w:spacing w:line="240" w:lineRule="auto"/>
              <w:ind w:firstLine="0" w:firstLineChars="0"/>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kern w:val="0"/>
                <w:sz w:val="28"/>
                <w:szCs w:val="28"/>
                <w:lang w:bidi="ar"/>
              </w:rPr>
              <w:t>生态安全</w:t>
            </w:r>
          </w:p>
        </w:tc>
        <w:tc>
          <w:tcPr>
            <w:tcW w:w="2813" w:type="dxa"/>
            <w:vAlign w:val="center"/>
          </w:tcPr>
          <w:p>
            <w:pPr>
              <w:widowControl/>
              <w:spacing w:line="240" w:lineRule="auto"/>
              <w:ind w:firstLine="0" w:firstLineChars="0"/>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kern w:val="0"/>
                <w:sz w:val="28"/>
                <w:szCs w:val="28"/>
                <w:lang w:bidi="ar"/>
              </w:rPr>
              <w:t>5</w:t>
            </w:r>
          </w:p>
        </w:tc>
        <w:tc>
          <w:tcPr>
            <w:tcW w:w="2073" w:type="dxa"/>
          </w:tcPr>
          <w:p>
            <w:pPr>
              <w:widowControl/>
              <w:spacing w:line="240" w:lineRule="auto"/>
              <w:ind w:firstLine="0" w:firstLineChars="0"/>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kern w:val="0"/>
                <w:sz w:val="28"/>
                <w:szCs w:val="28"/>
                <w:lang w:bidi="ar"/>
              </w:rPr>
              <w:t>18.75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512" w:type="dxa"/>
            <w:vAlign w:val="center"/>
          </w:tcPr>
          <w:p>
            <w:pPr>
              <w:widowControl/>
              <w:spacing w:line="240" w:lineRule="auto"/>
              <w:ind w:firstLine="0" w:firstLineChars="0"/>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kern w:val="0"/>
                <w:sz w:val="28"/>
                <w:szCs w:val="28"/>
                <w:lang w:bidi="ar"/>
              </w:rPr>
              <w:t>生态空间</w:t>
            </w:r>
          </w:p>
        </w:tc>
        <w:tc>
          <w:tcPr>
            <w:tcW w:w="2813" w:type="dxa"/>
            <w:vAlign w:val="center"/>
          </w:tcPr>
          <w:p>
            <w:pPr>
              <w:widowControl/>
              <w:spacing w:line="240" w:lineRule="auto"/>
              <w:ind w:firstLine="0" w:firstLineChars="0"/>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kern w:val="0"/>
                <w:sz w:val="28"/>
                <w:szCs w:val="28"/>
                <w:lang w:bidi="ar"/>
              </w:rPr>
              <w:t>2</w:t>
            </w:r>
          </w:p>
        </w:tc>
        <w:tc>
          <w:tcPr>
            <w:tcW w:w="2073" w:type="dxa"/>
          </w:tcPr>
          <w:p>
            <w:pPr>
              <w:widowControl/>
              <w:spacing w:line="240" w:lineRule="auto"/>
              <w:ind w:firstLine="0" w:firstLineChars="0"/>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kern w:val="0"/>
                <w:sz w:val="28"/>
                <w:szCs w:val="28"/>
                <w:lang w:bidi="ar"/>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512" w:type="dxa"/>
            <w:vAlign w:val="center"/>
          </w:tcPr>
          <w:p>
            <w:pPr>
              <w:widowControl/>
              <w:spacing w:line="240" w:lineRule="auto"/>
              <w:ind w:firstLine="0" w:firstLineChars="0"/>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kern w:val="0"/>
                <w:sz w:val="28"/>
                <w:szCs w:val="28"/>
                <w:lang w:bidi="ar"/>
              </w:rPr>
              <w:t>生态经济</w:t>
            </w:r>
          </w:p>
        </w:tc>
        <w:tc>
          <w:tcPr>
            <w:tcW w:w="2813" w:type="dxa"/>
            <w:vAlign w:val="center"/>
          </w:tcPr>
          <w:p>
            <w:pPr>
              <w:widowControl/>
              <w:spacing w:line="240" w:lineRule="auto"/>
              <w:ind w:firstLine="0" w:firstLineChars="0"/>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kern w:val="0"/>
                <w:sz w:val="28"/>
                <w:szCs w:val="28"/>
                <w:lang w:bidi="ar"/>
              </w:rPr>
              <w:t>12</w:t>
            </w:r>
          </w:p>
        </w:tc>
        <w:tc>
          <w:tcPr>
            <w:tcW w:w="2073" w:type="dxa"/>
          </w:tcPr>
          <w:p>
            <w:pPr>
              <w:widowControl/>
              <w:spacing w:line="240" w:lineRule="auto"/>
              <w:ind w:firstLine="0" w:firstLineChars="0"/>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kern w:val="0"/>
                <w:sz w:val="28"/>
                <w:szCs w:val="28"/>
                <w:lang w:bidi="ar"/>
              </w:rPr>
              <w:t>57.23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512" w:type="dxa"/>
            <w:vAlign w:val="center"/>
          </w:tcPr>
          <w:p>
            <w:pPr>
              <w:widowControl/>
              <w:spacing w:line="240" w:lineRule="auto"/>
              <w:ind w:firstLine="0" w:firstLineChars="0"/>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kern w:val="0"/>
                <w:sz w:val="28"/>
                <w:szCs w:val="28"/>
                <w:lang w:bidi="ar"/>
              </w:rPr>
              <w:t>生态生活</w:t>
            </w:r>
          </w:p>
        </w:tc>
        <w:tc>
          <w:tcPr>
            <w:tcW w:w="2813" w:type="dxa"/>
            <w:vAlign w:val="center"/>
          </w:tcPr>
          <w:p>
            <w:pPr>
              <w:widowControl/>
              <w:spacing w:line="240" w:lineRule="auto"/>
              <w:ind w:firstLine="0" w:firstLineChars="0"/>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kern w:val="0"/>
                <w:sz w:val="28"/>
                <w:szCs w:val="28"/>
                <w:lang w:bidi="ar"/>
              </w:rPr>
              <w:t>7</w:t>
            </w:r>
          </w:p>
        </w:tc>
        <w:tc>
          <w:tcPr>
            <w:tcW w:w="2073" w:type="dxa"/>
          </w:tcPr>
          <w:p>
            <w:pPr>
              <w:widowControl/>
              <w:spacing w:line="240" w:lineRule="auto"/>
              <w:ind w:firstLine="0" w:firstLineChars="0"/>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kern w:val="0"/>
                <w:sz w:val="28"/>
                <w:szCs w:val="28"/>
                <w:lang w:bidi="ar"/>
              </w:rPr>
              <w:t>14.215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512" w:type="dxa"/>
            <w:vAlign w:val="center"/>
          </w:tcPr>
          <w:p>
            <w:pPr>
              <w:widowControl/>
              <w:spacing w:line="240" w:lineRule="auto"/>
              <w:ind w:firstLine="0" w:firstLineChars="0"/>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kern w:val="0"/>
                <w:sz w:val="28"/>
                <w:szCs w:val="28"/>
                <w:lang w:bidi="ar"/>
              </w:rPr>
              <w:t>生态文化</w:t>
            </w:r>
          </w:p>
        </w:tc>
        <w:tc>
          <w:tcPr>
            <w:tcW w:w="2813" w:type="dxa"/>
            <w:vAlign w:val="center"/>
          </w:tcPr>
          <w:p>
            <w:pPr>
              <w:widowControl/>
              <w:spacing w:line="240" w:lineRule="auto"/>
              <w:ind w:firstLine="0" w:firstLineChars="0"/>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kern w:val="0"/>
                <w:sz w:val="28"/>
                <w:szCs w:val="28"/>
                <w:lang w:bidi="ar"/>
              </w:rPr>
              <w:t>3</w:t>
            </w:r>
          </w:p>
        </w:tc>
        <w:tc>
          <w:tcPr>
            <w:tcW w:w="2073" w:type="dxa"/>
          </w:tcPr>
          <w:p>
            <w:pPr>
              <w:widowControl/>
              <w:spacing w:line="240" w:lineRule="auto"/>
              <w:ind w:firstLine="0" w:firstLineChars="0"/>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kern w:val="0"/>
                <w:sz w:val="28"/>
                <w:szCs w:val="28"/>
                <w:lang w:bidi="ar"/>
              </w:rPr>
              <w:t>29.08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512" w:type="dxa"/>
            <w:vAlign w:val="center"/>
          </w:tcPr>
          <w:p>
            <w:pPr>
              <w:spacing w:line="240" w:lineRule="auto"/>
              <w:ind w:firstLine="482"/>
              <w:jc w:val="center"/>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合计</w:t>
            </w:r>
          </w:p>
        </w:tc>
        <w:tc>
          <w:tcPr>
            <w:tcW w:w="2813" w:type="dxa"/>
            <w:vAlign w:val="center"/>
          </w:tcPr>
          <w:p>
            <w:pPr>
              <w:widowControl/>
              <w:spacing w:line="240" w:lineRule="auto"/>
              <w:ind w:firstLine="0" w:firstLineChars="0"/>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kern w:val="0"/>
                <w:sz w:val="28"/>
                <w:szCs w:val="28"/>
                <w:lang w:bidi="ar"/>
              </w:rPr>
              <w:t>31</w:t>
            </w:r>
          </w:p>
        </w:tc>
        <w:tc>
          <w:tcPr>
            <w:tcW w:w="2073" w:type="dxa"/>
          </w:tcPr>
          <w:p>
            <w:pPr>
              <w:widowControl/>
              <w:spacing w:line="240" w:lineRule="auto"/>
              <w:ind w:firstLine="0" w:firstLineChars="0"/>
              <w:jc w:val="center"/>
              <w:textAlignment w:val="center"/>
              <w:rPr>
                <w:rFonts w:hint="default" w:ascii="Times New Roman" w:hAnsi="Times New Roman" w:eastAsia="仿宋" w:cs="Times New Roman"/>
                <w:kern w:val="0"/>
                <w:sz w:val="28"/>
                <w:szCs w:val="28"/>
                <w:lang w:bidi="ar"/>
              </w:rPr>
            </w:pPr>
            <w:r>
              <w:rPr>
                <w:rFonts w:hint="default" w:ascii="Times New Roman" w:hAnsi="Times New Roman" w:eastAsia="仿宋" w:cs="Times New Roman"/>
                <w:kern w:val="0"/>
                <w:sz w:val="28"/>
                <w:szCs w:val="28"/>
                <w:lang w:bidi="ar"/>
              </w:rPr>
              <w:t>134.4945</w:t>
            </w:r>
          </w:p>
        </w:tc>
      </w:tr>
      <w:bookmarkEnd w:id="103"/>
    </w:tbl>
    <w:p>
      <w:pPr>
        <w:ind w:firstLine="480"/>
        <w:rPr>
          <w:rFonts w:hint="default" w:ascii="Times New Roman" w:hAnsi="Times New Roman" w:eastAsia="仿宋" w:cs="Times New Roman"/>
          <w:sz w:val="24"/>
          <w:szCs w:val="24"/>
        </w:rPr>
      </w:pPr>
    </w:p>
    <w:p>
      <w:pPr>
        <w:ind w:firstLine="480"/>
        <w:rPr>
          <w:rFonts w:hint="default" w:ascii="Times New Roman" w:hAnsi="Times New Roman" w:eastAsia="仿宋" w:cs="Times New Roman"/>
          <w:sz w:val="24"/>
          <w:szCs w:val="24"/>
        </w:rPr>
        <w:sectPr>
          <w:pgSz w:w="11906" w:h="16838"/>
          <w:pgMar w:top="2098" w:right="1304" w:bottom="1304" w:left="1587" w:header="851" w:footer="1361" w:gutter="0"/>
          <w:cols w:space="0" w:num="1"/>
          <w:rtlGutter w:val="0"/>
          <w:docGrid w:type="lines" w:linePitch="381" w:charSpace="0"/>
        </w:sectPr>
      </w:pPr>
    </w:p>
    <w:p>
      <w:pPr>
        <w:ind w:firstLine="482"/>
        <w:jc w:val="center"/>
        <w:rPr>
          <w:rFonts w:hint="default" w:ascii="Times New Roman" w:hAnsi="Times New Roman" w:eastAsia="方正小标宋_GBK" w:cs="Times New Roman"/>
          <w:b w:val="0"/>
          <w:bCs/>
          <w:sz w:val="36"/>
          <w:szCs w:val="36"/>
        </w:rPr>
      </w:pPr>
      <w:r>
        <w:rPr>
          <w:rFonts w:hint="default" w:ascii="Times New Roman" w:hAnsi="Times New Roman" w:eastAsia="方正小标宋_GBK" w:cs="Times New Roman"/>
          <w:b w:val="0"/>
          <w:bCs/>
          <w:sz w:val="36"/>
          <w:szCs w:val="36"/>
        </w:rPr>
        <w:t>表4.1-2 兴安县生态文明示范区创建规划重点工程项目</w:t>
      </w:r>
    </w:p>
    <w:tbl>
      <w:tblPr>
        <w:tblStyle w:val="15"/>
        <w:tblW w:w="153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09"/>
        <w:gridCol w:w="2404"/>
        <w:gridCol w:w="6237"/>
        <w:gridCol w:w="1110"/>
        <w:gridCol w:w="778"/>
        <w:gridCol w:w="1350"/>
        <w:gridCol w:w="2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blHeader/>
          <w:jc w:val="center"/>
        </w:trPr>
        <w:tc>
          <w:tcPr>
            <w:tcW w:w="710" w:type="dxa"/>
            <w:shd w:val="clear" w:color="auto" w:fill="auto"/>
            <w:vAlign w:val="center"/>
          </w:tcPr>
          <w:p>
            <w:pPr>
              <w:widowControl/>
              <w:snapToGrid w:val="0"/>
              <w:spacing w:line="240" w:lineRule="auto"/>
              <w:ind w:firstLine="0" w:firstLineChars="0"/>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领域</w:t>
            </w:r>
          </w:p>
        </w:tc>
        <w:tc>
          <w:tcPr>
            <w:tcW w:w="709" w:type="dxa"/>
            <w:shd w:val="clear" w:color="auto" w:fill="auto"/>
            <w:vAlign w:val="center"/>
          </w:tcPr>
          <w:p>
            <w:pPr>
              <w:widowControl/>
              <w:snapToGrid w:val="0"/>
              <w:spacing w:line="240" w:lineRule="auto"/>
              <w:ind w:firstLine="0" w:firstLineChars="0"/>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项目编号</w:t>
            </w:r>
          </w:p>
        </w:tc>
        <w:tc>
          <w:tcPr>
            <w:tcW w:w="2404" w:type="dxa"/>
            <w:shd w:val="clear" w:color="auto" w:fill="auto"/>
            <w:vAlign w:val="center"/>
          </w:tcPr>
          <w:p>
            <w:pPr>
              <w:widowControl/>
              <w:snapToGrid w:val="0"/>
              <w:spacing w:line="240" w:lineRule="auto"/>
              <w:ind w:firstLine="0" w:firstLineChars="0"/>
              <w:jc w:val="center"/>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项目名称</w:t>
            </w:r>
          </w:p>
        </w:tc>
        <w:tc>
          <w:tcPr>
            <w:tcW w:w="6237" w:type="dxa"/>
            <w:shd w:val="clear" w:color="auto" w:fill="auto"/>
            <w:vAlign w:val="center"/>
          </w:tcPr>
          <w:p>
            <w:pPr>
              <w:widowControl/>
              <w:snapToGrid w:val="0"/>
              <w:spacing w:line="240" w:lineRule="auto"/>
              <w:ind w:firstLine="0" w:firstLineChars="0"/>
              <w:jc w:val="center"/>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项目介绍</w:t>
            </w:r>
          </w:p>
        </w:tc>
        <w:tc>
          <w:tcPr>
            <w:tcW w:w="1110" w:type="dxa"/>
            <w:shd w:val="clear" w:color="auto" w:fill="auto"/>
            <w:vAlign w:val="center"/>
          </w:tcPr>
          <w:p>
            <w:pPr>
              <w:widowControl/>
              <w:snapToGrid w:val="0"/>
              <w:spacing w:line="240" w:lineRule="auto"/>
              <w:ind w:firstLine="0" w:firstLineChars="0"/>
              <w:jc w:val="center"/>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经费</w:t>
            </w:r>
          </w:p>
          <w:p>
            <w:pPr>
              <w:widowControl/>
              <w:snapToGrid w:val="0"/>
              <w:spacing w:line="240" w:lineRule="auto"/>
              <w:ind w:firstLine="0" w:firstLineChars="0"/>
              <w:jc w:val="both"/>
              <w:rPr>
                <w:rFonts w:hint="eastAsia" w:ascii="黑体" w:hAnsi="黑体" w:eastAsia="黑体" w:cs="黑体"/>
                <w:b w:val="0"/>
                <w:bCs w:val="0"/>
                <w:kern w:val="0"/>
                <w:sz w:val="24"/>
                <w:szCs w:val="24"/>
                <w:lang w:val="en-US" w:eastAsia="zh-CN"/>
              </w:rPr>
            </w:pPr>
            <w:r>
              <w:rPr>
                <w:rFonts w:hint="eastAsia" w:ascii="黑体" w:hAnsi="黑体" w:eastAsia="黑体" w:cs="黑体"/>
                <w:b w:val="0"/>
                <w:bCs w:val="0"/>
                <w:kern w:val="0"/>
                <w:sz w:val="24"/>
                <w:szCs w:val="24"/>
                <w:lang w:eastAsia="zh-CN"/>
              </w:rPr>
              <w:t>（</w:t>
            </w:r>
            <w:r>
              <w:rPr>
                <w:rFonts w:hint="eastAsia" w:ascii="黑体" w:hAnsi="黑体" w:eastAsia="黑体" w:cs="黑体"/>
                <w:b w:val="0"/>
                <w:bCs w:val="0"/>
                <w:kern w:val="0"/>
                <w:sz w:val="24"/>
                <w:szCs w:val="24"/>
              </w:rPr>
              <w:t>亿元</w:t>
            </w:r>
            <w:r>
              <w:rPr>
                <w:rFonts w:hint="eastAsia" w:ascii="黑体" w:hAnsi="黑体" w:eastAsia="黑体" w:cs="黑体"/>
                <w:b w:val="0"/>
                <w:bCs w:val="0"/>
                <w:kern w:val="0"/>
                <w:sz w:val="24"/>
                <w:szCs w:val="24"/>
                <w:lang w:eastAsia="zh-CN"/>
              </w:rPr>
              <w:t>）</w:t>
            </w:r>
          </w:p>
        </w:tc>
        <w:tc>
          <w:tcPr>
            <w:tcW w:w="778" w:type="dxa"/>
            <w:shd w:val="clear" w:color="auto" w:fill="auto"/>
            <w:vAlign w:val="center"/>
          </w:tcPr>
          <w:p>
            <w:pPr>
              <w:widowControl/>
              <w:snapToGrid w:val="0"/>
              <w:spacing w:line="240" w:lineRule="auto"/>
              <w:ind w:firstLine="0" w:firstLineChars="0"/>
              <w:jc w:val="center"/>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实施年限</w:t>
            </w:r>
          </w:p>
        </w:tc>
        <w:tc>
          <w:tcPr>
            <w:tcW w:w="1350" w:type="dxa"/>
            <w:shd w:val="clear" w:color="auto" w:fill="auto"/>
            <w:vAlign w:val="center"/>
          </w:tcPr>
          <w:p>
            <w:pPr>
              <w:widowControl/>
              <w:snapToGrid w:val="0"/>
              <w:spacing w:line="240" w:lineRule="auto"/>
              <w:ind w:firstLine="0" w:firstLineChars="0"/>
              <w:jc w:val="center"/>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组织实施部门</w:t>
            </w:r>
          </w:p>
        </w:tc>
        <w:tc>
          <w:tcPr>
            <w:tcW w:w="2034" w:type="dxa"/>
            <w:vAlign w:val="center"/>
          </w:tcPr>
          <w:p>
            <w:pPr>
              <w:widowControl/>
              <w:snapToGrid w:val="0"/>
              <w:spacing w:line="240" w:lineRule="auto"/>
              <w:ind w:firstLine="0" w:firstLineChars="0"/>
              <w:jc w:val="center"/>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项目实施后的</w:t>
            </w:r>
          </w:p>
          <w:p>
            <w:pPr>
              <w:widowControl/>
              <w:snapToGrid w:val="0"/>
              <w:spacing w:line="240" w:lineRule="auto"/>
              <w:ind w:firstLine="0" w:firstLineChars="0"/>
              <w:jc w:val="center"/>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效果分析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710" w:type="dxa"/>
            <w:vMerge w:val="restart"/>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b/>
                <w:bCs/>
                <w:kern w:val="0"/>
                <w:sz w:val="22"/>
              </w:rPr>
            </w:pPr>
            <w:r>
              <w:rPr>
                <w:rFonts w:hint="default" w:ascii="Times New Roman" w:hAnsi="Times New Roman" w:eastAsia="仿宋_GB2312" w:cs="Times New Roman"/>
                <w:b/>
                <w:bCs/>
                <w:kern w:val="0"/>
                <w:sz w:val="22"/>
              </w:rPr>
              <w:t>生态制度</w:t>
            </w: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right"/>
              <w:rPr>
                <w:rFonts w:hint="default" w:ascii="Times New Roman" w:hAnsi="Times New Roman" w:eastAsia="仿宋_GB2312" w:cs="Times New Roman"/>
                <w:kern w:val="0"/>
                <w:sz w:val="22"/>
              </w:rPr>
            </w:pPr>
          </w:p>
        </w:tc>
        <w:tc>
          <w:tcPr>
            <w:tcW w:w="2404"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2"/>
              </w:rPr>
            </w:pPr>
            <w:r>
              <w:rPr>
                <w:rFonts w:hint="default" w:ascii="Times New Roman" w:hAnsi="Times New Roman" w:eastAsia="仿宋_GB2312" w:cs="Times New Roman"/>
                <w:kern w:val="0"/>
                <w:sz w:val="21"/>
                <w:szCs w:val="21"/>
                <w:lang w:bidi="ar"/>
              </w:rPr>
              <w:t>兴安县生态文明示范区规划</w:t>
            </w:r>
          </w:p>
        </w:tc>
        <w:tc>
          <w:tcPr>
            <w:tcW w:w="6237" w:type="dxa"/>
            <w:shd w:val="clear" w:color="auto" w:fill="auto"/>
            <w:vAlign w:val="center"/>
          </w:tcPr>
          <w:p>
            <w:pPr>
              <w:widowControl/>
              <w:snapToGrid w:val="0"/>
              <w:spacing w:line="240" w:lineRule="auto"/>
              <w:ind w:firstLine="0" w:firstLineChars="0"/>
              <w:jc w:val="left"/>
              <w:rPr>
                <w:rFonts w:hint="default" w:ascii="Times New Roman" w:hAnsi="Times New Roman" w:eastAsia="仿宋_GB2312" w:cs="Times New Roman"/>
                <w:kern w:val="0"/>
                <w:sz w:val="22"/>
              </w:rPr>
            </w:pPr>
            <w:r>
              <w:rPr>
                <w:rFonts w:hint="default" w:ascii="Times New Roman" w:hAnsi="Times New Roman" w:eastAsia="仿宋_GB2312" w:cs="Times New Roman"/>
                <w:kern w:val="0"/>
                <w:sz w:val="21"/>
                <w:szCs w:val="21"/>
                <w:lang w:bidi="ar"/>
              </w:rPr>
              <w:t>编制《兴安县国家生态文明建设示范区规划（2023-2030年）》</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2"/>
              </w:rPr>
            </w:pPr>
            <w:r>
              <w:rPr>
                <w:rFonts w:hint="default" w:ascii="Times New Roman" w:hAnsi="Times New Roman" w:eastAsia="仿宋_GB2312" w:cs="Times New Roman"/>
                <w:kern w:val="0"/>
                <w:sz w:val="22"/>
              </w:rPr>
              <w:t>0.0045</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2"/>
              </w:rPr>
            </w:pPr>
            <w:r>
              <w:rPr>
                <w:rFonts w:hint="default" w:ascii="Times New Roman" w:hAnsi="Times New Roman" w:eastAsia="仿宋_GB2312" w:cs="Times New Roman"/>
                <w:kern w:val="0"/>
                <w:sz w:val="22"/>
              </w:rPr>
              <w:t>2023</w:t>
            </w:r>
          </w:p>
        </w:tc>
        <w:tc>
          <w:tcPr>
            <w:tcW w:w="135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兴安生态环境局</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项目完成后可为全县生态文明建设提供顶层设计，并满足创建基本条件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710" w:type="dxa"/>
            <w:vMerge w:val="continue"/>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b/>
                <w:bCs/>
                <w:kern w:val="0"/>
                <w:sz w:val="22"/>
              </w:rPr>
            </w:pP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both"/>
              <w:rPr>
                <w:rFonts w:hint="default" w:ascii="Times New Roman" w:hAnsi="Times New Roman" w:eastAsia="仿宋_GB2312" w:cs="Times New Roman"/>
                <w:kern w:val="0"/>
                <w:sz w:val="22"/>
              </w:rPr>
            </w:pPr>
          </w:p>
        </w:tc>
        <w:tc>
          <w:tcPr>
            <w:tcW w:w="2404"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兴安县生态文明建设示范区创建及复核</w:t>
            </w:r>
          </w:p>
        </w:tc>
        <w:tc>
          <w:tcPr>
            <w:tcW w:w="6237" w:type="dxa"/>
            <w:shd w:val="clear" w:color="auto" w:fill="auto"/>
            <w:vAlign w:val="center"/>
          </w:tcPr>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开展自治区级和国家级生态文明建设示范区创建。获得命名后开展生态文明建设成效年度自评估，生态文明示范区有效期满后编制复核材料。</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2"/>
              </w:rPr>
            </w:pPr>
            <w:r>
              <w:rPr>
                <w:rFonts w:hint="default" w:ascii="Times New Roman" w:hAnsi="Times New Roman" w:eastAsia="仿宋_GB2312" w:cs="Times New Roman"/>
                <w:kern w:val="0"/>
                <w:sz w:val="22"/>
              </w:rPr>
              <w:t>0.015</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2"/>
              </w:rPr>
            </w:pPr>
            <w:r>
              <w:rPr>
                <w:rFonts w:hint="default" w:ascii="Times New Roman" w:hAnsi="Times New Roman" w:eastAsia="仿宋_GB2312" w:cs="Times New Roman"/>
                <w:kern w:val="0"/>
                <w:sz w:val="22"/>
              </w:rPr>
              <w:t>2024-2030</w:t>
            </w:r>
          </w:p>
        </w:tc>
        <w:tc>
          <w:tcPr>
            <w:tcW w:w="135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兴安生态环境局</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为全县生态文明建设示范区创建提供支撑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710" w:type="dxa"/>
            <w:vMerge w:val="restart"/>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b/>
                <w:bCs/>
                <w:kern w:val="0"/>
                <w:sz w:val="22"/>
              </w:rPr>
            </w:pPr>
            <w:r>
              <w:rPr>
                <w:rFonts w:hint="default" w:ascii="Times New Roman" w:hAnsi="Times New Roman" w:eastAsia="仿宋_GB2312" w:cs="Times New Roman"/>
                <w:b/>
                <w:bCs/>
                <w:kern w:val="0"/>
                <w:sz w:val="22"/>
              </w:rPr>
              <w:t>生态安全</w:t>
            </w: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both"/>
              <w:rPr>
                <w:rFonts w:hint="default" w:ascii="Times New Roman" w:hAnsi="Times New Roman" w:eastAsia="仿宋_GB2312" w:cs="Times New Roman"/>
                <w:kern w:val="0"/>
                <w:sz w:val="22"/>
              </w:rPr>
            </w:pPr>
          </w:p>
        </w:tc>
        <w:tc>
          <w:tcPr>
            <w:tcW w:w="2404"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灵渠上游海洋河及其支流生态治理</w:t>
            </w:r>
          </w:p>
        </w:tc>
        <w:tc>
          <w:tcPr>
            <w:tcW w:w="6237" w:type="dxa"/>
            <w:shd w:val="clear" w:color="auto" w:fill="auto"/>
            <w:vAlign w:val="center"/>
          </w:tcPr>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主要对灵渠上游的深江、海洋河、西坡江、直义河、茗田河、粉山河、亭子江、邓家河、上塘河、双女井溪进行治理。</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6.400</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2023-2025</w:t>
            </w:r>
          </w:p>
        </w:tc>
        <w:tc>
          <w:tcPr>
            <w:tcW w:w="135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县水利局</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改善区域水环境质量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710" w:type="dxa"/>
            <w:vMerge w:val="continue"/>
            <w:vAlign w:val="center"/>
          </w:tcPr>
          <w:p>
            <w:pPr>
              <w:widowControl/>
              <w:snapToGrid w:val="0"/>
              <w:spacing w:line="240" w:lineRule="auto"/>
              <w:ind w:firstLine="0" w:firstLineChars="0"/>
              <w:jc w:val="left"/>
              <w:rPr>
                <w:rFonts w:hint="default" w:ascii="Times New Roman" w:hAnsi="Times New Roman" w:eastAsia="仿宋_GB2312" w:cs="Times New Roman"/>
                <w:b/>
                <w:bCs/>
                <w:kern w:val="0"/>
                <w:sz w:val="22"/>
              </w:rPr>
            </w:pP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both"/>
              <w:rPr>
                <w:rFonts w:hint="default" w:ascii="Times New Roman" w:hAnsi="Times New Roman" w:eastAsia="仿宋_GB2312" w:cs="Times New Roman"/>
                <w:kern w:val="0"/>
                <w:sz w:val="22"/>
              </w:rPr>
            </w:pPr>
          </w:p>
        </w:tc>
        <w:tc>
          <w:tcPr>
            <w:tcW w:w="2404"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广西桂林市兴安县水系连通及农村水系综合整治工程二期（红色湘江）</w:t>
            </w:r>
          </w:p>
        </w:tc>
        <w:tc>
          <w:tcPr>
            <w:tcW w:w="6237" w:type="dxa"/>
            <w:shd w:val="clear" w:color="auto" w:fill="auto"/>
            <w:vAlign w:val="center"/>
          </w:tcPr>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综合治理湘江干流及8条支流，治理长度103.15km、湖塘10座。</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6.000</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2023-2025</w:t>
            </w:r>
          </w:p>
        </w:tc>
        <w:tc>
          <w:tcPr>
            <w:tcW w:w="135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县水利局</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改善区域水环境质量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710" w:type="dxa"/>
            <w:vMerge w:val="continue"/>
            <w:vAlign w:val="center"/>
          </w:tcPr>
          <w:p>
            <w:pPr>
              <w:widowControl/>
              <w:snapToGrid w:val="0"/>
              <w:spacing w:line="240" w:lineRule="auto"/>
              <w:ind w:firstLine="0" w:firstLineChars="0"/>
              <w:jc w:val="left"/>
              <w:rPr>
                <w:rFonts w:hint="default" w:ascii="Times New Roman" w:hAnsi="Times New Roman" w:eastAsia="仿宋_GB2312" w:cs="Times New Roman"/>
                <w:b/>
                <w:bCs/>
                <w:kern w:val="0"/>
                <w:sz w:val="22"/>
              </w:rPr>
            </w:pP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both"/>
              <w:rPr>
                <w:rFonts w:hint="default" w:ascii="Times New Roman" w:hAnsi="Times New Roman" w:eastAsia="仿宋_GB2312" w:cs="Times New Roman"/>
                <w:kern w:val="0"/>
                <w:sz w:val="22"/>
              </w:rPr>
            </w:pPr>
          </w:p>
        </w:tc>
        <w:tc>
          <w:tcPr>
            <w:tcW w:w="2404"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广西桂林市兴安县水系连通及农村水系综合整治工程三期（生态漓江）</w:t>
            </w:r>
          </w:p>
        </w:tc>
        <w:tc>
          <w:tcPr>
            <w:tcW w:w="6237" w:type="dxa"/>
            <w:shd w:val="clear" w:color="auto" w:fill="auto"/>
            <w:vAlign w:val="center"/>
          </w:tcPr>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综合治理的主要河流包括大溶江及9条支流，治理长度52.45km、湖塘12座。</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6.000</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2023-2025</w:t>
            </w:r>
          </w:p>
        </w:tc>
        <w:tc>
          <w:tcPr>
            <w:tcW w:w="135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县水利局</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改善区域水环境质量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710" w:type="dxa"/>
            <w:vMerge w:val="continue"/>
            <w:vAlign w:val="center"/>
          </w:tcPr>
          <w:p>
            <w:pPr>
              <w:widowControl/>
              <w:snapToGrid w:val="0"/>
              <w:spacing w:line="240" w:lineRule="auto"/>
              <w:ind w:firstLine="0" w:firstLineChars="0"/>
              <w:jc w:val="left"/>
              <w:rPr>
                <w:rFonts w:hint="default" w:ascii="Times New Roman" w:hAnsi="Times New Roman" w:eastAsia="仿宋_GB2312" w:cs="Times New Roman"/>
                <w:b/>
                <w:bCs/>
                <w:kern w:val="0"/>
                <w:sz w:val="22"/>
              </w:rPr>
            </w:pP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both"/>
              <w:rPr>
                <w:rFonts w:hint="default" w:ascii="Times New Roman" w:hAnsi="Times New Roman" w:eastAsia="仿宋_GB2312" w:cs="Times New Roman"/>
                <w:kern w:val="0"/>
                <w:sz w:val="22"/>
              </w:rPr>
            </w:pPr>
          </w:p>
        </w:tc>
        <w:tc>
          <w:tcPr>
            <w:tcW w:w="2404"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重金属矿区历史遗留固体废物</w:t>
            </w:r>
          </w:p>
        </w:tc>
        <w:tc>
          <w:tcPr>
            <w:tcW w:w="6237" w:type="dxa"/>
            <w:shd w:val="clear" w:color="auto" w:fill="auto"/>
            <w:vAlign w:val="center"/>
          </w:tcPr>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对广西桂林大锰猛业投资有限责任公司堆存的锰渣进行有效妥善处理，有效解决历史遗留固体废物的处置难题</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0.300</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2023-2025</w:t>
            </w:r>
          </w:p>
        </w:tc>
        <w:tc>
          <w:tcPr>
            <w:tcW w:w="135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兴安生态环境局</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保障区域生态安全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710" w:type="dxa"/>
            <w:vMerge w:val="continue"/>
            <w:vAlign w:val="center"/>
          </w:tcPr>
          <w:p>
            <w:pPr>
              <w:widowControl/>
              <w:snapToGrid w:val="0"/>
              <w:spacing w:line="240" w:lineRule="auto"/>
              <w:ind w:firstLine="0" w:firstLineChars="0"/>
              <w:jc w:val="left"/>
              <w:rPr>
                <w:rFonts w:hint="default" w:ascii="Times New Roman" w:hAnsi="Times New Roman" w:eastAsia="仿宋_GB2312" w:cs="Times New Roman"/>
                <w:b/>
                <w:bCs/>
                <w:kern w:val="0"/>
                <w:sz w:val="22"/>
              </w:rPr>
            </w:pP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both"/>
              <w:rPr>
                <w:rFonts w:hint="default" w:ascii="Times New Roman" w:hAnsi="Times New Roman" w:eastAsia="仿宋_GB2312" w:cs="Times New Roman"/>
                <w:kern w:val="0"/>
                <w:sz w:val="22"/>
              </w:rPr>
            </w:pPr>
          </w:p>
        </w:tc>
        <w:tc>
          <w:tcPr>
            <w:tcW w:w="2404"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兴安镇八仙坪采石场矿山地质环境保护与生态修复工程</w:t>
            </w:r>
          </w:p>
        </w:tc>
        <w:tc>
          <w:tcPr>
            <w:tcW w:w="6237" w:type="dxa"/>
            <w:shd w:val="clear" w:color="auto" w:fill="auto"/>
            <w:vAlign w:val="center"/>
          </w:tcPr>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完成兴安镇八仙坪采石场矿山地质环境保护与生态修复工作。</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0.050</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2023-2025</w:t>
            </w:r>
          </w:p>
        </w:tc>
        <w:tc>
          <w:tcPr>
            <w:tcW w:w="135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县自然资源局</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保障区域生态安全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10" w:type="dxa"/>
            <w:vMerge w:val="restart"/>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b/>
                <w:bCs/>
                <w:kern w:val="0"/>
                <w:sz w:val="22"/>
              </w:rPr>
            </w:pPr>
            <w:r>
              <w:rPr>
                <w:rFonts w:hint="default" w:ascii="Times New Roman" w:hAnsi="Times New Roman" w:eastAsia="仿宋_GB2312" w:cs="Times New Roman"/>
                <w:b/>
                <w:bCs/>
                <w:kern w:val="0"/>
                <w:sz w:val="22"/>
              </w:rPr>
              <w:t>生态空间</w:t>
            </w: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both"/>
              <w:rPr>
                <w:rFonts w:hint="default" w:ascii="Times New Roman" w:hAnsi="Times New Roman" w:eastAsia="仿宋_GB2312" w:cs="Times New Roman"/>
                <w:kern w:val="0"/>
                <w:sz w:val="22"/>
              </w:rPr>
            </w:pPr>
          </w:p>
        </w:tc>
        <w:tc>
          <w:tcPr>
            <w:tcW w:w="2404"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森林质量精准提升工程项目</w:t>
            </w:r>
          </w:p>
        </w:tc>
        <w:tc>
          <w:tcPr>
            <w:tcW w:w="6237" w:type="dxa"/>
            <w:shd w:val="clear" w:color="auto" w:fill="auto"/>
            <w:vAlign w:val="center"/>
          </w:tcPr>
          <w:p>
            <w:pPr>
              <w:widowControl/>
              <w:snapToGrid w:val="0"/>
              <w:spacing w:line="240" w:lineRule="auto"/>
              <w:ind w:firstLine="0" w:firstLineChars="0"/>
              <w:jc w:val="both"/>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推进饮用水水源保护区等重要生态区域竹林纯林改造，加强森林景观改造等。在兴安县范围内开展森林质量精准提升1万亩。</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0.200</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2023-2030</w:t>
            </w:r>
          </w:p>
        </w:tc>
        <w:tc>
          <w:tcPr>
            <w:tcW w:w="135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县林业局</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提升生态质量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jc w:val="center"/>
        </w:trPr>
        <w:tc>
          <w:tcPr>
            <w:tcW w:w="710" w:type="dxa"/>
            <w:vMerge w:val="continue"/>
            <w:vAlign w:val="center"/>
          </w:tcPr>
          <w:p>
            <w:pPr>
              <w:widowControl/>
              <w:snapToGrid w:val="0"/>
              <w:spacing w:line="240" w:lineRule="auto"/>
              <w:ind w:firstLine="0" w:firstLineChars="0"/>
              <w:jc w:val="left"/>
              <w:rPr>
                <w:rFonts w:hint="default" w:ascii="Times New Roman" w:hAnsi="Times New Roman" w:eastAsia="仿宋_GB2312" w:cs="Times New Roman"/>
                <w:b/>
                <w:bCs/>
                <w:kern w:val="0"/>
                <w:sz w:val="22"/>
              </w:rPr>
            </w:pP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both"/>
              <w:rPr>
                <w:rFonts w:hint="default" w:ascii="Times New Roman" w:hAnsi="Times New Roman" w:eastAsia="仿宋_GB2312" w:cs="Times New Roman"/>
                <w:kern w:val="0"/>
                <w:sz w:val="22"/>
              </w:rPr>
            </w:pPr>
          </w:p>
        </w:tc>
        <w:tc>
          <w:tcPr>
            <w:tcW w:w="2404"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桂林漓江流域山水林田湖草生态保护和修复项目</w:t>
            </w:r>
          </w:p>
        </w:tc>
        <w:tc>
          <w:tcPr>
            <w:tcW w:w="6237" w:type="dxa"/>
            <w:shd w:val="clear" w:color="auto" w:fill="auto"/>
            <w:vAlign w:val="center"/>
          </w:tcPr>
          <w:p>
            <w:pPr>
              <w:widowControl/>
              <w:snapToGrid w:val="0"/>
              <w:spacing w:line="240" w:lineRule="auto"/>
              <w:ind w:firstLine="0" w:firstLineChars="0"/>
              <w:jc w:val="both"/>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拟在漓江流域兴安县辖区范围内，开展矿区地质环境恢复治理、土地综合整治、岩溶石漠化综合治理、漓江流域水生态环境保护修复、重要生态系统与生物多样性保护修复工程、生态环境监测等工程。该项目包括兴安县漓江补水水库库周公路两旁生态修复项目，涉及华江、溶江和严关三个乡（镇），总里程共136公里（其中：库周公路105公里，202省道改道和华江升坪广塘至千祥新建公路31公里。）</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15</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2023-2030</w:t>
            </w:r>
          </w:p>
        </w:tc>
        <w:tc>
          <w:tcPr>
            <w:tcW w:w="135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县林业局</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保障区域生态安全、提升环境质量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710" w:type="dxa"/>
            <w:vMerge w:val="restart"/>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b/>
                <w:bCs/>
                <w:kern w:val="0"/>
                <w:sz w:val="22"/>
              </w:rPr>
            </w:pPr>
            <w:r>
              <w:rPr>
                <w:rFonts w:hint="default" w:ascii="Times New Roman" w:hAnsi="Times New Roman" w:eastAsia="仿宋_GB2312" w:cs="Times New Roman"/>
                <w:b/>
                <w:bCs/>
                <w:kern w:val="0"/>
                <w:sz w:val="22"/>
              </w:rPr>
              <w:t>生态经济</w:t>
            </w: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both"/>
              <w:rPr>
                <w:rFonts w:hint="default" w:ascii="Times New Roman" w:hAnsi="Times New Roman" w:eastAsia="仿宋_GB2312" w:cs="Times New Roman"/>
                <w:kern w:val="0"/>
                <w:sz w:val="22"/>
              </w:rPr>
            </w:pPr>
          </w:p>
        </w:tc>
        <w:tc>
          <w:tcPr>
            <w:tcW w:w="2404"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兴安县白石风电储能一体化项目</w:t>
            </w:r>
          </w:p>
        </w:tc>
        <w:tc>
          <w:tcPr>
            <w:tcW w:w="6237" w:type="dxa"/>
            <w:shd w:val="clear" w:color="auto" w:fill="auto"/>
            <w:vAlign w:val="center"/>
          </w:tcPr>
          <w:p>
            <w:pPr>
              <w:widowControl/>
              <w:snapToGrid w:val="0"/>
              <w:spacing w:line="240" w:lineRule="auto"/>
              <w:ind w:firstLine="0" w:firstLineChars="0"/>
              <w:jc w:val="both"/>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sz w:val="21"/>
                <w:szCs w:val="21"/>
              </w:rPr>
              <w:t>本工程拟安装</w:t>
            </w:r>
            <w:r>
              <w:rPr>
                <w:rFonts w:hint="default" w:ascii="Times New Roman" w:hAnsi="Times New Roman" w:eastAsia="仿宋_GB2312" w:cs="Times New Roman"/>
                <w:spacing w:val="-56"/>
                <w:sz w:val="21"/>
                <w:szCs w:val="21"/>
              </w:rPr>
              <w:t xml:space="preserve"> </w:t>
            </w:r>
            <w:r>
              <w:rPr>
                <w:rFonts w:hint="default" w:ascii="Times New Roman" w:hAnsi="Times New Roman" w:eastAsia="仿宋_GB2312" w:cs="Times New Roman"/>
                <w:sz w:val="21"/>
                <w:szCs w:val="21"/>
              </w:rPr>
              <w:t>30</w:t>
            </w:r>
            <w:r>
              <w:rPr>
                <w:rFonts w:hint="default" w:ascii="Times New Roman" w:hAnsi="Times New Roman" w:eastAsia="仿宋_GB2312" w:cs="Times New Roman"/>
                <w:spacing w:val="-57"/>
                <w:sz w:val="21"/>
                <w:szCs w:val="21"/>
              </w:rPr>
              <w:t xml:space="preserve"> </w:t>
            </w:r>
            <w:r>
              <w:rPr>
                <w:rFonts w:hint="default" w:ascii="Times New Roman" w:hAnsi="Times New Roman" w:eastAsia="仿宋_GB2312" w:cs="Times New Roman"/>
                <w:sz w:val="21"/>
                <w:szCs w:val="21"/>
              </w:rPr>
              <w:t>台单机容量</w:t>
            </w:r>
            <w:r>
              <w:rPr>
                <w:rFonts w:hint="default" w:ascii="Times New Roman" w:hAnsi="Times New Roman" w:eastAsia="仿宋_GB2312" w:cs="Times New Roman"/>
                <w:spacing w:val="-53"/>
                <w:sz w:val="21"/>
                <w:szCs w:val="21"/>
              </w:rPr>
              <w:t xml:space="preserve"> </w:t>
            </w:r>
            <w:r>
              <w:rPr>
                <w:rFonts w:hint="default" w:ascii="Times New Roman" w:hAnsi="Times New Roman" w:eastAsia="仿宋_GB2312" w:cs="Times New Roman"/>
                <w:sz w:val="21"/>
                <w:szCs w:val="21"/>
              </w:rPr>
              <w:t>3400kW</w:t>
            </w:r>
            <w:r>
              <w:rPr>
                <w:rFonts w:hint="default" w:ascii="Times New Roman" w:hAnsi="Times New Roman" w:eastAsia="仿宋_GB2312" w:cs="Times New Roman"/>
                <w:spacing w:val="-55"/>
                <w:sz w:val="21"/>
                <w:szCs w:val="21"/>
              </w:rPr>
              <w:t xml:space="preserve"> </w:t>
            </w:r>
            <w:r>
              <w:rPr>
                <w:rFonts w:hint="default" w:ascii="Times New Roman" w:hAnsi="Times New Roman" w:eastAsia="仿宋_GB2312" w:cs="Times New Roman"/>
                <w:sz w:val="21"/>
                <w:szCs w:val="21"/>
              </w:rPr>
              <w:t>的风力发电机组（其中</w:t>
            </w:r>
            <w:r>
              <w:rPr>
                <w:rFonts w:hint="default" w:ascii="Times New Roman" w:hAnsi="Times New Roman" w:eastAsia="仿宋_GB2312" w:cs="Times New Roman"/>
                <w:spacing w:val="-56"/>
                <w:sz w:val="21"/>
                <w:szCs w:val="21"/>
              </w:rPr>
              <w:t xml:space="preserve"> </w:t>
            </w:r>
            <w:r>
              <w:rPr>
                <w:rFonts w:hint="default" w:ascii="Times New Roman" w:hAnsi="Times New Roman" w:eastAsia="仿宋_GB2312" w:cs="Times New Roman"/>
                <w:sz w:val="21"/>
                <w:szCs w:val="21"/>
              </w:rPr>
              <w:t>5</w:t>
            </w:r>
            <w:r>
              <w:rPr>
                <w:rFonts w:hint="default" w:ascii="Times New Roman" w:hAnsi="Times New Roman" w:eastAsia="仿宋_GB2312" w:cs="Times New Roman"/>
                <w:spacing w:val="-55"/>
                <w:sz w:val="21"/>
                <w:szCs w:val="21"/>
              </w:rPr>
              <w:t xml:space="preserve"> </w:t>
            </w:r>
            <w:r>
              <w:rPr>
                <w:rFonts w:hint="default" w:ascii="Times New Roman" w:hAnsi="Times New Roman" w:eastAsia="仿宋_GB2312" w:cs="Times New Roman"/>
                <w:sz w:val="21"/>
                <w:szCs w:val="21"/>
              </w:rPr>
              <w:t>台限</w:t>
            </w:r>
            <w:r>
              <w:rPr>
                <w:rFonts w:hint="default" w:ascii="Times New Roman" w:hAnsi="Times New Roman" w:eastAsia="仿宋_GB2312" w:cs="Times New Roman"/>
                <w:w w:val="99"/>
                <w:sz w:val="21"/>
                <w:szCs w:val="21"/>
              </w:rPr>
              <w:t xml:space="preserve"> </w:t>
            </w:r>
            <w:r>
              <w:rPr>
                <w:rFonts w:hint="default" w:ascii="Times New Roman" w:hAnsi="Times New Roman" w:eastAsia="仿宋_GB2312" w:cs="Times New Roman"/>
                <w:sz w:val="21"/>
                <w:szCs w:val="21"/>
              </w:rPr>
              <w:t>发</w:t>
            </w:r>
            <w:r>
              <w:rPr>
                <w:rFonts w:hint="default" w:ascii="Times New Roman" w:hAnsi="Times New Roman" w:eastAsia="仿宋_GB2312" w:cs="Times New Roman"/>
                <w:spacing w:val="-57"/>
                <w:sz w:val="21"/>
                <w:szCs w:val="21"/>
              </w:rPr>
              <w:t xml:space="preserve"> </w:t>
            </w:r>
            <w:r>
              <w:rPr>
                <w:rFonts w:hint="default" w:ascii="Times New Roman" w:hAnsi="Times New Roman" w:eastAsia="仿宋_GB2312" w:cs="Times New Roman"/>
                <w:sz w:val="21"/>
                <w:szCs w:val="21"/>
              </w:rPr>
              <w:t>3000kW），装机容量</w:t>
            </w:r>
            <w:r>
              <w:rPr>
                <w:rFonts w:hint="default" w:ascii="Times New Roman" w:hAnsi="Times New Roman" w:eastAsia="仿宋_GB2312" w:cs="Times New Roman"/>
                <w:spacing w:val="-57"/>
                <w:sz w:val="21"/>
                <w:szCs w:val="21"/>
              </w:rPr>
              <w:t xml:space="preserve"> </w:t>
            </w:r>
            <w:r>
              <w:rPr>
                <w:rFonts w:hint="default" w:ascii="Times New Roman" w:hAnsi="Times New Roman" w:eastAsia="仿宋_GB2312" w:cs="Times New Roman"/>
                <w:sz w:val="21"/>
                <w:szCs w:val="21"/>
              </w:rPr>
              <w:t>100MW，新建</w:t>
            </w:r>
            <w:r>
              <w:rPr>
                <w:rFonts w:hint="default" w:ascii="Times New Roman" w:hAnsi="Times New Roman" w:eastAsia="仿宋_GB2312" w:cs="Times New Roman"/>
                <w:spacing w:val="-57"/>
                <w:sz w:val="21"/>
                <w:szCs w:val="21"/>
              </w:rPr>
              <w:t xml:space="preserve"> </w:t>
            </w:r>
            <w:r>
              <w:rPr>
                <w:rFonts w:hint="default" w:ascii="Times New Roman" w:hAnsi="Times New Roman" w:eastAsia="仿宋_GB2312" w:cs="Times New Roman"/>
                <w:sz w:val="21"/>
                <w:szCs w:val="21"/>
              </w:rPr>
              <w:t>110KV</w:t>
            </w:r>
            <w:r>
              <w:rPr>
                <w:rFonts w:hint="default" w:ascii="Times New Roman" w:hAnsi="Times New Roman" w:eastAsia="仿宋_GB2312" w:cs="Times New Roman"/>
                <w:spacing w:val="-56"/>
                <w:sz w:val="21"/>
                <w:szCs w:val="21"/>
              </w:rPr>
              <w:t xml:space="preserve"> </w:t>
            </w:r>
            <w:r>
              <w:rPr>
                <w:rFonts w:hint="default" w:ascii="Times New Roman" w:hAnsi="Times New Roman" w:eastAsia="仿宋_GB2312" w:cs="Times New Roman"/>
                <w:sz w:val="21"/>
                <w:szCs w:val="21"/>
              </w:rPr>
              <w:t>升压站一座和配套送出</w:t>
            </w:r>
            <w:r>
              <w:rPr>
                <w:rFonts w:hint="default" w:ascii="Times New Roman" w:hAnsi="Times New Roman" w:eastAsia="仿宋_GB2312" w:cs="Times New Roman"/>
                <w:w w:val="99"/>
                <w:sz w:val="21"/>
                <w:szCs w:val="21"/>
              </w:rPr>
              <w:t xml:space="preserve"> </w:t>
            </w:r>
            <w:r>
              <w:rPr>
                <w:rFonts w:hint="default" w:ascii="Times New Roman" w:hAnsi="Times New Roman" w:eastAsia="仿宋_GB2312" w:cs="Times New Roman"/>
                <w:sz w:val="21"/>
                <w:szCs w:val="21"/>
              </w:rPr>
              <w:t>线路。</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sz w:val="21"/>
              </w:rPr>
              <w:t>7.8</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2023-2025</w:t>
            </w:r>
          </w:p>
        </w:tc>
        <w:tc>
          <w:tcPr>
            <w:tcW w:w="135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sz w:val="21"/>
                <w:szCs w:val="21"/>
              </w:rPr>
              <w:t>白石乡</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发展绿色新能源，优化能源结构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10" w:type="dxa"/>
            <w:vMerge w:val="continue"/>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b/>
                <w:bCs/>
                <w:kern w:val="0"/>
                <w:sz w:val="22"/>
              </w:rPr>
            </w:pP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both"/>
              <w:rPr>
                <w:rFonts w:hint="default" w:ascii="Times New Roman" w:hAnsi="Times New Roman" w:eastAsia="仿宋_GB2312" w:cs="Times New Roman"/>
                <w:kern w:val="0"/>
                <w:sz w:val="22"/>
              </w:rPr>
            </w:pPr>
          </w:p>
        </w:tc>
        <w:tc>
          <w:tcPr>
            <w:tcW w:w="2404" w:type="dxa"/>
            <w:shd w:val="clear" w:color="auto" w:fill="auto"/>
            <w:vAlign w:val="center"/>
          </w:tcPr>
          <w:p>
            <w:pPr>
              <w:pStyle w:val="36"/>
              <w:spacing w:line="262" w:lineRule="exact"/>
              <w:ind w:left="201"/>
              <w:jc w:val="center"/>
              <w:rPr>
                <w:rFonts w:hint="default" w:ascii="Times New Roman" w:hAnsi="Times New Roman" w:eastAsia="仿宋_GB2312" w:cs="Times New Roman"/>
                <w:sz w:val="21"/>
                <w:szCs w:val="21"/>
                <w:lang w:eastAsia="zh-CN" w:bidi="ar"/>
              </w:rPr>
            </w:pPr>
            <w:r>
              <w:rPr>
                <w:rFonts w:hint="default" w:ascii="Times New Roman" w:hAnsi="Times New Roman" w:eastAsia="仿宋_GB2312" w:cs="Times New Roman"/>
                <w:sz w:val="21"/>
                <w:szCs w:val="21"/>
                <w:lang w:eastAsia="zh-CN"/>
              </w:rPr>
              <w:t>兴安县大界岭风电储能一体化项目</w:t>
            </w:r>
          </w:p>
        </w:tc>
        <w:tc>
          <w:tcPr>
            <w:tcW w:w="6237" w:type="dxa"/>
            <w:shd w:val="clear" w:color="auto" w:fill="auto"/>
            <w:vAlign w:val="center"/>
          </w:tcPr>
          <w:p>
            <w:pPr>
              <w:widowControl/>
              <w:snapToGrid w:val="0"/>
              <w:spacing w:line="240" w:lineRule="auto"/>
              <w:ind w:firstLine="0" w:firstLineChars="0"/>
              <w:jc w:val="both"/>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spacing w:val="7"/>
                <w:sz w:val="21"/>
                <w:szCs w:val="21"/>
              </w:rPr>
              <w:t>本工程拟安装</w:t>
            </w:r>
            <w:r>
              <w:rPr>
                <w:rFonts w:hint="default" w:ascii="Times New Roman" w:hAnsi="Times New Roman" w:eastAsia="仿宋_GB2312" w:cs="Times New Roman"/>
                <w:spacing w:val="-47"/>
                <w:sz w:val="21"/>
                <w:szCs w:val="21"/>
              </w:rPr>
              <w:t xml:space="preserve"> </w:t>
            </w:r>
            <w:r>
              <w:rPr>
                <w:rFonts w:hint="default" w:ascii="Times New Roman" w:hAnsi="Times New Roman" w:eastAsia="仿宋_GB2312" w:cs="Times New Roman"/>
                <w:sz w:val="21"/>
                <w:szCs w:val="21"/>
              </w:rPr>
              <w:t>20</w:t>
            </w:r>
            <w:r>
              <w:rPr>
                <w:rFonts w:hint="default" w:ascii="Times New Roman" w:hAnsi="Times New Roman" w:eastAsia="仿宋_GB2312" w:cs="Times New Roman"/>
                <w:spacing w:val="-48"/>
                <w:sz w:val="21"/>
                <w:szCs w:val="21"/>
              </w:rPr>
              <w:t xml:space="preserve"> </w:t>
            </w:r>
            <w:r>
              <w:rPr>
                <w:rFonts w:hint="default" w:ascii="Times New Roman" w:hAnsi="Times New Roman" w:eastAsia="仿宋_GB2312" w:cs="Times New Roman"/>
                <w:spacing w:val="7"/>
                <w:sz w:val="21"/>
                <w:szCs w:val="21"/>
              </w:rPr>
              <w:t>台单机容量</w:t>
            </w:r>
            <w:r>
              <w:rPr>
                <w:rFonts w:hint="default" w:ascii="Times New Roman" w:hAnsi="Times New Roman" w:eastAsia="仿宋_GB2312" w:cs="Times New Roman"/>
                <w:spacing w:val="-47"/>
                <w:sz w:val="21"/>
                <w:szCs w:val="21"/>
              </w:rPr>
              <w:t xml:space="preserve"> </w:t>
            </w:r>
            <w:r>
              <w:rPr>
                <w:rFonts w:hint="default" w:ascii="Times New Roman" w:hAnsi="Times New Roman" w:eastAsia="仿宋_GB2312" w:cs="Times New Roman"/>
                <w:sz w:val="21"/>
                <w:szCs w:val="21"/>
              </w:rPr>
              <w:t>5000kW</w:t>
            </w:r>
            <w:r>
              <w:rPr>
                <w:rFonts w:hint="default" w:ascii="Times New Roman" w:hAnsi="Times New Roman" w:eastAsia="仿宋_GB2312" w:cs="Times New Roman"/>
                <w:spacing w:val="-48"/>
                <w:sz w:val="21"/>
                <w:szCs w:val="21"/>
              </w:rPr>
              <w:t xml:space="preserve"> </w:t>
            </w:r>
            <w:r>
              <w:rPr>
                <w:rFonts w:hint="default" w:ascii="Times New Roman" w:hAnsi="Times New Roman" w:eastAsia="仿宋_GB2312" w:cs="Times New Roman"/>
                <w:spacing w:val="8"/>
                <w:sz w:val="21"/>
                <w:szCs w:val="21"/>
              </w:rPr>
              <w:t>的风力发电机组，装机容量</w:t>
            </w:r>
            <w:r>
              <w:rPr>
                <w:rFonts w:hint="default" w:ascii="Times New Roman" w:hAnsi="Times New Roman" w:eastAsia="仿宋_GB2312" w:cs="Times New Roman"/>
                <w:w w:val="99"/>
                <w:sz w:val="21"/>
                <w:szCs w:val="21"/>
              </w:rPr>
              <w:t xml:space="preserve"> </w:t>
            </w:r>
            <w:r>
              <w:rPr>
                <w:rFonts w:hint="default" w:ascii="Times New Roman" w:hAnsi="Times New Roman" w:eastAsia="仿宋_GB2312" w:cs="Times New Roman"/>
                <w:sz w:val="21"/>
                <w:szCs w:val="21"/>
              </w:rPr>
              <w:t>100MW，新建</w:t>
            </w:r>
            <w:r>
              <w:rPr>
                <w:rFonts w:hint="default" w:ascii="Times New Roman" w:hAnsi="Times New Roman" w:eastAsia="仿宋_GB2312" w:cs="Times New Roman"/>
                <w:spacing w:val="-59"/>
                <w:sz w:val="21"/>
                <w:szCs w:val="21"/>
              </w:rPr>
              <w:t xml:space="preserve"> </w:t>
            </w:r>
            <w:r>
              <w:rPr>
                <w:rFonts w:hint="default" w:ascii="Times New Roman" w:hAnsi="Times New Roman" w:eastAsia="仿宋_GB2312" w:cs="Times New Roman"/>
                <w:sz w:val="21"/>
                <w:szCs w:val="21"/>
              </w:rPr>
              <w:t>110KV</w:t>
            </w:r>
            <w:r>
              <w:rPr>
                <w:rFonts w:hint="default" w:ascii="Times New Roman" w:hAnsi="Times New Roman" w:eastAsia="仿宋_GB2312" w:cs="Times New Roman"/>
                <w:spacing w:val="-58"/>
                <w:sz w:val="21"/>
                <w:szCs w:val="21"/>
              </w:rPr>
              <w:t xml:space="preserve"> </w:t>
            </w:r>
            <w:r>
              <w:rPr>
                <w:rFonts w:hint="default" w:ascii="Times New Roman" w:hAnsi="Times New Roman" w:eastAsia="仿宋_GB2312" w:cs="Times New Roman"/>
                <w:sz w:val="21"/>
                <w:szCs w:val="21"/>
              </w:rPr>
              <w:t>升压站一座和配套送出线路。</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sz w:val="21"/>
              </w:rPr>
              <w:t>7.5</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2023-2024</w:t>
            </w:r>
          </w:p>
        </w:tc>
        <w:tc>
          <w:tcPr>
            <w:tcW w:w="135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sz w:val="21"/>
                <w:szCs w:val="21"/>
              </w:rPr>
              <w:t>严关镇</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发展绿色新能源，优化能源结构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10" w:type="dxa"/>
            <w:vMerge w:val="continue"/>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b/>
                <w:bCs/>
                <w:kern w:val="0"/>
                <w:sz w:val="22"/>
              </w:rPr>
            </w:pP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both"/>
              <w:rPr>
                <w:rFonts w:hint="default" w:ascii="Times New Roman" w:hAnsi="Times New Roman" w:eastAsia="仿宋_GB2312" w:cs="Times New Roman"/>
                <w:kern w:val="0"/>
                <w:sz w:val="22"/>
              </w:rPr>
            </w:pPr>
          </w:p>
        </w:tc>
        <w:tc>
          <w:tcPr>
            <w:tcW w:w="2404"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sz w:val="21"/>
                <w:szCs w:val="21"/>
              </w:rPr>
              <w:t>殿堂二期风电项目</w:t>
            </w:r>
          </w:p>
        </w:tc>
        <w:tc>
          <w:tcPr>
            <w:tcW w:w="6237" w:type="dxa"/>
            <w:shd w:val="clear" w:color="auto" w:fill="auto"/>
            <w:vAlign w:val="center"/>
          </w:tcPr>
          <w:p>
            <w:pPr>
              <w:widowControl/>
              <w:snapToGrid w:val="0"/>
              <w:spacing w:line="240" w:lineRule="auto"/>
              <w:ind w:firstLine="0" w:firstLineChars="0"/>
              <w:jc w:val="both"/>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sz w:val="21"/>
                <w:szCs w:val="21"/>
              </w:rPr>
              <w:t>殿堂二期风电场选用</w:t>
            </w:r>
            <w:r>
              <w:rPr>
                <w:rFonts w:hint="default" w:ascii="Times New Roman" w:hAnsi="Times New Roman" w:eastAsia="仿宋_GB2312" w:cs="Times New Roman"/>
                <w:spacing w:val="-59"/>
                <w:sz w:val="21"/>
                <w:szCs w:val="21"/>
              </w:rPr>
              <w:t xml:space="preserve"> </w:t>
            </w:r>
            <w:r>
              <w:rPr>
                <w:rFonts w:hint="default" w:ascii="Times New Roman" w:hAnsi="Times New Roman" w:eastAsia="仿宋_GB2312" w:cs="Times New Roman"/>
                <w:sz w:val="21"/>
                <w:szCs w:val="21"/>
              </w:rPr>
              <w:t>20</w:t>
            </w:r>
            <w:r>
              <w:rPr>
                <w:rFonts w:hint="default" w:ascii="Times New Roman" w:hAnsi="Times New Roman" w:eastAsia="仿宋_GB2312" w:cs="Times New Roman"/>
                <w:spacing w:val="-58"/>
                <w:sz w:val="21"/>
                <w:szCs w:val="21"/>
              </w:rPr>
              <w:t xml:space="preserve"> </w:t>
            </w:r>
            <w:r>
              <w:rPr>
                <w:rFonts w:hint="default" w:ascii="Times New Roman" w:hAnsi="Times New Roman" w:eastAsia="仿宋_GB2312" w:cs="Times New Roman"/>
                <w:sz w:val="21"/>
                <w:szCs w:val="21"/>
              </w:rPr>
              <w:t>台单机容量</w:t>
            </w:r>
            <w:r>
              <w:rPr>
                <w:rFonts w:hint="default" w:ascii="Times New Roman" w:hAnsi="Times New Roman" w:eastAsia="仿宋_GB2312" w:cs="Times New Roman"/>
                <w:spacing w:val="-59"/>
                <w:sz w:val="21"/>
                <w:szCs w:val="21"/>
              </w:rPr>
              <w:t xml:space="preserve"> </w:t>
            </w:r>
            <w:r>
              <w:rPr>
                <w:rFonts w:hint="default" w:ascii="Times New Roman" w:hAnsi="Times New Roman" w:eastAsia="仿宋_GB2312" w:cs="Times New Roman"/>
                <w:sz w:val="21"/>
                <w:szCs w:val="21"/>
              </w:rPr>
              <w:t>4000kW</w:t>
            </w:r>
            <w:r>
              <w:rPr>
                <w:rFonts w:hint="default" w:ascii="Times New Roman" w:hAnsi="Times New Roman" w:eastAsia="仿宋_GB2312" w:cs="Times New Roman"/>
                <w:spacing w:val="-58"/>
                <w:sz w:val="21"/>
                <w:szCs w:val="21"/>
              </w:rPr>
              <w:t xml:space="preserve"> </w:t>
            </w:r>
            <w:r>
              <w:rPr>
                <w:rFonts w:hint="default" w:ascii="Times New Roman" w:hAnsi="Times New Roman" w:eastAsia="仿宋_GB2312" w:cs="Times New Roman"/>
                <w:sz w:val="21"/>
                <w:szCs w:val="21"/>
              </w:rPr>
              <w:t>的风力发电机组，装机容量</w:t>
            </w:r>
            <w:r>
              <w:rPr>
                <w:rFonts w:hint="default" w:ascii="Times New Roman" w:hAnsi="Times New Roman" w:eastAsia="仿宋_GB2312" w:cs="Times New Roman"/>
                <w:spacing w:val="-52"/>
                <w:sz w:val="21"/>
                <w:szCs w:val="21"/>
              </w:rPr>
              <w:t xml:space="preserve"> </w:t>
            </w:r>
            <w:r>
              <w:rPr>
                <w:rFonts w:hint="default" w:ascii="Times New Roman" w:hAnsi="Times New Roman" w:eastAsia="仿宋_GB2312" w:cs="Times New Roman"/>
                <w:sz w:val="21"/>
                <w:szCs w:val="21"/>
              </w:rPr>
              <w:t>80MW</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sz w:val="21"/>
              </w:rPr>
              <w:t>5.8</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2023-2024</w:t>
            </w:r>
          </w:p>
        </w:tc>
        <w:tc>
          <w:tcPr>
            <w:tcW w:w="135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sz w:val="21"/>
                <w:szCs w:val="21"/>
              </w:rPr>
              <w:t>兴安镇</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发展绿色新能源，优化能源结构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10" w:type="dxa"/>
            <w:vMerge w:val="continue"/>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b/>
                <w:bCs/>
                <w:kern w:val="0"/>
                <w:sz w:val="22"/>
              </w:rPr>
            </w:pP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both"/>
              <w:rPr>
                <w:rFonts w:hint="default" w:ascii="Times New Roman" w:hAnsi="Times New Roman" w:eastAsia="仿宋_GB2312" w:cs="Times New Roman"/>
                <w:kern w:val="0"/>
                <w:sz w:val="22"/>
              </w:rPr>
            </w:pPr>
          </w:p>
        </w:tc>
        <w:tc>
          <w:tcPr>
            <w:tcW w:w="2404" w:type="dxa"/>
            <w:shd w:val="clear" w:color="auto" w:fill="auto"/>
            <w:vAlign w:val="center"/>
          </w:tcPr>
          <w:p>
            <w:pPr>
              <w:pStyle w:val="36"/>
              <w:spacing w:line="261" w:lineRule="exact"/>
              <w:ind w:right="2"/>
              <w:jc w:val="center"/>
              <w:rPr>
                <w:rFonts w:hint="default" w:ascii="Times New Roman" w:hAnsi="Times New Roman" w:eastAsia="仿宋_GB2312" w:cs="Times New Roman"/>
                <w:sz w:val="21"/>
                <w:szCs w:val="21"/>
                <w:lang w:bidi="ar"/>
              </w:rPr>
            </w:pPr>
            <w:r>
              <w:rPr>
                <w:rFonts w:hint="default" w:ascii="Times New Roman" w:hAnsi="Times New Roman" w:eastAsia="仿宋_GB2312" w:cs="Times New Roman"/>
                <w:sz w:val="21"/>
                <w:szCs w:val="21"/>
              </w:rPr>
              <w:t>严关三期风电项目</w:t>
            </w:r>
          </w:p>
        </w:tc>
        <w:tc>
          <w:tcPr>
            <w:tcW w:w="6237" w:type="dxa"/>
            <w:shd w:val="clear" w:color="auto" w:fill="auto"/>
            <w:vAlign w:val="center"/>
          </w:tcPr>
          <w:p>
            <w:pPr>
              <w:pStyle w:val="36"/>
              <w:spacing w:line="261" w:lineRule="exact"/>
              <w:jc w:val="both"/>
              <w:rPr>
                <w:rFonts w:hint="default" w:ascii="Times New Roman" w:hAnsi="Times New Roman" w:eastAsia="仿宋_GB2312" w:cs="Times New Roman"/>
                <w:sz w:val="21"/>
                <w:szCs w:val="21"/>
                <w:lang w:eastAsia="zh-CN" w:bidi="ar"/>
              </w:rPr>
            </w:pPr>
            <w:r>
              <w:rPr>
                <w:rFonts w:hint="default" w:ascii="Times New Roman" w:hAnsi="Times New Roman" w:eastAsia="仿宋_GB2312" w:cs="Times New Roman"/>
                <w:sz w:val="21"/>
                <w:szCs w:val="21"/>
                <w:lang w:eastAsia="zh-CN"/>
              </w:rPr>
              <w:t>严关三期风电场工程选用</w:t>
            </w:r>
            <w:r>
              <w:rPr>
                <w:rFonts w:hint="default" w:ascii="Times New Roman" w:hAnsi="Times New Roman" w:eastAsia="仿宋_GB2312" w:cs="Times New Roman"/>
                <w:spacing w:val="-57"/>
                <w:sz w:val="21"/>
                <w:szCs w:val="21"/>
                <w:lang w:eastAsia="zh-CN"/>
              </w:rPr>
              <w:t xml:space="preserve"> </w:t>
            </w:r>
            <w:r>
              <w:rPr>
                <w:rFonts w:hint="default" w:ascii="Times New Roman" w:hAnsi="Times New Roman" w:eastAsia="仿宋_GB2312" w:cs="Times New Roman"/>
                <w:sz w:val="21"/>
                <w:szCs w:val="21"/>
                <w:lang w:eastAsia="zh-CN"/>
              </w:rPr>
              <w:t>20</w:t>
            </w:r>
            <w:r>
              <w:rPr>
                <w:rFonts w:hint="default" w:ascii="Times New Roman" w:hAnsi="Times New Roman" w:eastAsia="仿宋_GB2312" w:cs="Times New Roman"/>
                <w:spacing w:val="-57"/>
                <w:sz w:val="21"/>
                <w:szCs w:val="21"/>
                <w:lang w:eastAsia="zh-CN"/>
              </w:rPr>
              <w:t xml:space="preserve"> </w:t>
            </w:r>
            <w:r>
              <w:rPr>
                <w:rFonts w:hint="default" w:ascii="Times New Roman" w:hAnsi="Times New Roman" w:eastAsia="仿宋_GB2312" w:cs="Times New Roman"/>
                <w:sz w:val="21"/>
                <w:szCs w:val="21"/>
                <w:lang w:eastAsia="zh-CN"/>
              </w:rPr>
              <w:t>台单机容量</w:t>
            </w:r>
            <w:r>
              <w:rPr>
                <w:rFonts w:hint="default" w:ascii="Times New Roman" w:hAnsi="Times New Roman" w:eastAsia="仿宋_GB2312" w:cs="Times New Roman"/>
                <w:spacing w:val="-57"/>
                <w:sz w:val="21"/>
                <w:szCs w:val="21"/>
                <w:lang w:eastAsia="zh-CN"/>
              </w:rPr>
              <w:t xml:space="preserve"> </w:t>
            </w:r>
            <w:r>
              <w:rPr>
                <w:rFonts w:hint="default" w:ascii="Times New Roman" w:hAnsi="Times New Roman" w:eastAsia="仿宋_GB2312" w:cs="Times New Roman"/>
                <w:sz w:val="21"/>
                <w:szCs w:val="21"/>
                <w:lang w:eastAsia="zh-CN"/>
              </w:rPr>
              <w:t>4000kW</w:t>
            </w:r>
            <w:r>
              <w:rPr>
                <w:rFonts w:hint="default" w:ascii="Times New Roman" w:hAnsi="Times New Roman" w:eastAsia="仿宋_GB2312" w:cs="Times New Roman"/>
                <w:spacing w:val="-57"/>
                <w:sz w:val="21"/>
                <w:szCs w:val="21"/>
                <w:lang w:eastAsia="zh-CN"/>
              </w:rPr>
              <w:t xml:space="preserve"> </w:t>
            </w:r>
            <w:r>
              <w:rPr>
                <w:rFonts w:hint="default" w:ascii="Times New Roman" w:hAnsi="Times New Roman" w:eastAsia="仿宋_GB2312" w:cs="Times New Roman"/>
                <w:sz w:val="21"/>
                <w:szCs w:val="21"/>
                <w:lang w:eastAsia="zh-CN"/>
              </w:rPr>
              <w:t>的风力发电机组，装机容量</w:t>
            </w:r>
            <w:r>
              <w:rPr>
                <w:rFonts w:hint="default" w:ascii="Times New Roman" w:hAnsi="Times New Roman" w:eastAsia="仿宋_GB2312" w:cs="Times New Roman"/>
                <w:spacing w:val="-56"/>
                <w:sz w:val="21"/>
                <w:szCs w:val="21"/>
                <w:lang w:eastAsia="zh-CN"/>
              </w:rPr>
              <w:t xml:space="preserve"> </w:t>
            </w:r>
            <w:r>
              <w:rPr>
                <w:rFonts w:hint="default" w:ascii="Times New Roman" w:hAnsi="Times New Roman" w:eastAsia="仿宋_GB2312" w:cs="Times New Roman"/>
                <w:sz w:val="21"/>
                <w:szCs w:val="21"/>
                <w:lang w:eastAsia="zh-CN"/>
              </w:rPr>
              <w:t>80MW。</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sz w:val="21"/>
              </w:rPr>
              <w:t>6.2</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2023-2024</w:t>
            </w:r>
          </w:p>
        </w:tc>
        <w:tc>
          <w:tcPr>
            <w:tcW w:w="1350" w:type="dxa"/>
            <w:shd w:val="clear" w:color="auto" w:fill="auto"/>
            <w:vAlign w:val="center"/>
          </w:tcPr>
          <w:p>
            <w:pPr>
              <w:pStyle w:val="36"/>
              <w:spacing w:line="261" w:lineRule="exact"/>
              <w:ind w:left="103"/>
              <w:jc w:val="center"/>
              <w:rPr>
                <w:rFonts w:hint="default" w:ascii="Times New Roman" w:hAnsi="Times New Roman" w:eastAsia="仿宋_GB2312" w:cs="Times New Roman"/>
                <w:sz w:val="21"/>
                <w:szCs w:val="21"/>
                <w:lang w:bidi="ar"/>
              </w:rPr>
            </w:pPr>
            <w:r>
              <w:rPr>
                <w:rFonts w:hint="default" w:ascii="Times New Roman" w:hAnsi="Times New Roman" w:eastAsia="仿宋_GB2312" w:cs="Times New Roman"/>
                <w:spacing w:val="12"/>
                <w:sz w:val="21"/>
                <w:szCs w:val="21"/>
              </w:rPr>
              <w:t>兴安镇、</w:t>
            </w:r>
            <w:r>
              <w:rPr>
                <w:rFonts w:hint="default" w:ascii="Times New Roman" w:hAnsi="Times New Roman" w:eastAsia="仿宋_GB2312" w:cs="Times New Roman"/>
                <w:sz w:val="21"/>
                <w:szCs w:val="21"/>
              </w:rPr>
              <w:t>严关镇</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发展绿色新能源，优化能源结构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710" w:type="dxa"/>
            <w:vMerge w:val="continue"/>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b/>
                <w:bCs/>
                <w:kern w:val="0"/>
                <w:sz w:val="22"/>
              </w:rPr>
            </w:pP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both"/>
              <w:rPr>
                <w:rFonts w:hint="default" w:ascii="Times New Roman" w:hAnsi="Times New Roman" w:eastAsia="仿宋_GB2312" w:cs="Times New Roman"/>
                <w:kern w:val="0"/>
                <w:sz w:val="22"/>
              </w:rPr>
            </w:pPr>
          </w:p>
        </w:tc>
        <w:tc>
          <w:tcPr>
            <w:tcW w:w="2404"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sz w:val="21"/>
                <w:szCs w:val="21"/>
              </w:rPr>
              <w:t>光华铺风电场项目</w:t>
            </w:r>
          </w:p>
        </w:tc>
        <w:tc>
          <w:tcPr>
            <w:tcW w:w="6237" w:type="dxa"/>
            <w:shd w:val="clear" w:color="auto" w:fill="auto"/>
            <w:vAlign w:val="center"/>
          </w:tcPr>
          <w:p>
            <w:pPr>
              <w:widowControl/>
              <w:snapToGrid w:val="0"/>
              <w:spacing w:line="240" w:lineRule="auto"/>
              <w:ind w:firstLine="0" w:firstLineChars="0"/>
              <w:jc w:val="both"/>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sz w:val="21"/>
                <w:szCs w:val="21"/>
              </w:rPr>
              <w:t>工程拟安装单机容量</w:t>
            </w:r>
            <w:r>
              <w:rPr>
                <w:rFonts w:hint="default" w:ascii="Times New Roman" w:hAnsi="Times New Roman" w:eastAsia="仿宋_GB2312" w:cs="Times New Roman"/>
                <w:spacing w:val="-57"/>
                <w:sz w:val="21"/>
                <w:szCs w:val="21"/>
              </w:rPr>
              <w:t xml:space="preserve"> </w:t>
            </w:r>
            <w:r>
              <w:rPr>
                <w:rFonts w:hint="default" w:ascii="Times New Roman" w:hAnsi="Times New Roman" w:eastAsia="仿宋_GB2312" w:cs="Times New Roman"/>
                <w:sz w:val="21"/>
                <w:szCs w:val="21"/>
              </w:rPr>
              <w:t>4.0MW</w:t>
            </w:r>
            <w:r>
              <w:rPr>
                <w:rFonts w:hint="default" w:ascii="Times New Roman" w:hAnsi="Times New Roman" w:eastAsia="仿宋_GB2312" w:cs="Times New Roman"/>
                <w:spacing w:val="-56"/>
                <w:sz w:val="21"/>
                <w:szCs w:val="21"/>
              </w:rPr>
              <w:t xml:space="preserve"> </w:t>
            </w:r>
            <w:r>
              <w:rPr>
                <w:rFonts w:hint="default" w:ascii="Times New Roman" w:hAnsi="Times New Roman" w:eastAsia="仿宋_GB2312" w:cs="Times New Roman"/>
                <w:sz w:val="21"/>
                <w:szCs w:val="21"/>
              </w:rPr>
              <w:t>的风力发电机组</w:t>
            </w:r>
            <w:r>
              <w:rPr>
                <w:rFonts w:hint="default" w:ascii="Times New Roman" w:hAnsi="Times New Roman" w:eastAsia="仿宋_GB2312" w:cs="Times New Roman"/>
                <w:spacing w:val="-57"/>
                <w:sz w:val="21"/>
                <w:szCs w:val="21"/>
              </w:rPr>
              <w:t xml:space="preserve"> </w:t>
            </w:r>
            <w:r>
              <w:rPr>
                <w:rFonts w:hint="default" w:ascii="Times New Roman" w:hAnsi="Times New Roman" w:eastAsia="仿宋_GB2312" w:cs="Times New Roman"/>
                <w:sz w:val="21"/>
                <w:szCs w:val="21"/>
              </w:rPr>
              <w:t>38</w:t>
            </w:r>
            <w:r>
              <w:rPr>
                <w:rFonts w:hint="default" w:ascii="Times New Roman" w:hAnsi="Times New Roman" w:eastAsia="仿宋_GB2312" w:cs="Times New Roman"/>
                <w:spacing w:val="-56"/>
                <w:sz w:val="21"/>
                <w:szCs w:val="21"/>
              </w:rPr>
              <w:t xml:space="preserve"> </w:t>
            </w:r>
            <w:r>
              <w:rPr>
                <w:rFonts w:hint="default" w:ascii="Times New Roman" w:hAnsi="Times New Roman" w:eastAsia="仿宋_GB2312" w:cs="Times New Roman"/>
                <w:sz w:val="21"/>
                <w:szCs w:val="21"/>
              </w:rPr>
              <w:t>台，装机容量为50MW（其中两台限发为3.0MW）。本项目属新能源发电领域，项目购置风力发电机、塔筒、箱式变压器、主变压器、GIS高压设备、SVG无功补偿装置等先进设备，项目设计代表年上网电量约为35391万kW•h，年等效满负荷利用小时2359h。项目总用地面积 867.94亩，其中永久用地32.83亩,临时用地 835.11亩。</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sz w:val="21"/>
              </w:rPr>
              <w:t>11.6</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2023-2024</w:t>
            </w:r>
          </w:p>
        </w:tc>
        <w:tc>
          <w:tcPr>
            <w:tcW w:w="135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界首镇</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发展绿色新能源，优化能源结构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10" w:type="dxa"/>
            <w:vMerge w:val="restart"/>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b/>
                <w:bCs/>
                <w:kern w:val="0"/>
                <w:sz w:val="22"/>
              </w:rPr>
            </w:pPr>
            <w:r>
              <w:rPr>
                <w:rFonts w:hint="default" w:ascii="Times New Roman" w:hAnsi="Times New Roman" w:eastAsia="仿宋_GB2312" w:cs="Times New Roman"/>
                <w:b/>
                <w:bCs/>
                <w:kern w:val="0"/>
                <w:sz w:val="22"/>
              </w:rPr>
              <w:t>生态经济</w:t>
            </w: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both"/>
              <w:rPr>
                <w:rFonts w:hint="default" w:ascii="Times New Roman" w:hAnsi="Times New Roman" w:eastAsia="仿宋_GB2312" w:cs="Times New Roman"/>
                <w:kern w:val="0"/>
                <w:sz w:val="22"/>
              </w:rPr>
            </w:pPr>
          </w:p>
        </w:tc>
        <w:tc>
          <w:tcPr>
            <w:tcW w:w="2404"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sz w:val="21"/>
                <w:szCs w:val="21"/>
              </w:rPr>
              <w:t>界首三期风电</w:t>
            </w:r>
            <w:r>
              <w:rPr>
                <w:rFonts w:hint="default" w:ascii="Times New Roman" w:hAnsi="Times New Roman" w:eastAsia="仿宋_GB2312" w:cs="Times New Roman"/>
                <w:w w:val="99"/>
                <w:sz w:val="21"/>
                <w:szCs w:val="21"/>
              </w:rPr>
              <w:t xml:space="preserve"> </w:t>
            </w:r>
            <w:r>
              <w:rPr>
                <w:rFonts w:hint="default" w:ascii="Times New Roman" w:hAnsi="Times New Roman" w:eastAsia="仿宋_GB2312" w:cs="Times New Roman"/>
                <w:sz w:val="21"/>
                <w:szCs w:val="21"/>
              </w:rPr>
              <w:t>场项目</w:t>
            </w:r>
          </w:p>
        </w:tc>
        <w:tc>
          <w:tcPr>
            <w:tcW w:w="6237" w:type="dxa"/>
            <w:shd w:val="clear" w:color="auto" w:fill="auto"/>
          </w:tcPr>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sz w:val="21"/>
                <w:szCs w:val="21"/>
              </w:rPr>
              <w:t>工程装机容量</w:t>
            </w:r>
            <w:r>
              <w:rPr>
                <w:rFonts w:hint="default" w:ascii="Times New Roman" w:hAnsi="Times New Roman" w:eastAsia="仿宋_GB2312" w:cs="Times New Roman"/>
                <w:spacing w:val="-53"/>
                <w:sz w:val="21"/>
                <w:szCs w:val="21"/>
              </w:rPr>
              <w:t xml:space="preserve"> </w:t>
            </w:r>
            <w:r>
              <w:rPr>
                <w:rFonts w:hint="default" w:ascii="Times New Roman" w:hAnsi="Times New Roman" w:eastAsia="仿宋_GB2312" w:cs="Times New Roman"/>
                <w:spacing w:val="-6"/>
                <w:sz w:val="21"/>
                <w:szCs w:val="21"/>
              </w:rPr>
              <w:t>100MW，拟采购安装</w:t>
            </w:r>
            <w:r>
              <w:rPr>
                <w:rFonts w:hint="default" w:ascii="Times New Roman" w:hAnsi="Times New Roman" w:eastAsia="仿宋_GB2312" w:cs="Times New Roman"/>
                <w:spacing w:val="-53"/>
                <w:sz w:val="21"/>
                <w:szCs w:val="21"/>
              </w:rPr>
              <w:t xml:space="preserve"> </w:t>
            </w:r>
            <w:r>
              <w:rPr>
                <w:rFonts w:hint="default" w:ascii="Times New Roman" w:hAnsi="Times New Roman" w:eastAsia="仿宋_GB2312" w:cs="Times New Roman"/>
                <w:sz w:val="21"/>
                <w:szCs w:val="21"/>
              </w:rPr>
              <w:t>25</w:t>
            </w:r>
            <w:r>
              <w:rPr>
                <w:rFonts w:hint="default" w:ascii="Times New Roman" w:hAnsi="Times New Roman" w:eastAsia="仿宋_GB2312" w:cs="Times New Roman"/>
                <w:spacing w:val="-57"/>
                <w:sz w:val="21"/>
                <w:szCs w:val="21"/>
              </w:rPr>
              <w:t xml:space="preserve"> </w:t>
            </w:r>
            <w:r>
              <w:rPr>
                <w:rFonts w:hint="default" w:ascii="Times New Roman" w:hAnsi="Times New Roman" w:eastAsia="仿宋_GB2312" w:cs="Times New Roman"/>
                <w:sz w:val="21"/>
                <w:szCs w:val="21"/>
              </w:rPr>
              <w:t>台单机容量</w:t>
            </w:r>
            <w:r>
              <w:rPr>
                <w:rFonts w:hint="default" w:ascii="Times New Roman" w:hAnsi="Times New Roman" w:eastAsia="仿宋_GB2312" w:cs="Times New Roman"/>
                <w:spacing w:val="-56"/>
                <w:sz w:val="21"/>
                <w:szCs w:val="21"/>
              </w:rPr>
              <w:t xml:space="preserve"> </w:t>
            </w:r>
            <w:r>
              <w:rPr>
                <w:rFonts w:hint="default" w:ascii="Times New Roman" w:hAnsi="Times New Roman" w:eastAsia="仿宋_GB2312" w:cs="Times New Roman"/>
                <w:sz w:val="21"/>
                <w:szCs w:val="21"/>
              </w:rPr>
              <w:t>4.0MW</w:t>
            </w:r>
            <w:r>
              <w:rPr>
                <w:rFonts w:hint="default" w:ascii="Times New Roman" w:hAnsi="Times New Roman" w:eastAsia="仿宋_GB2312" w:cs="Times New Roman"/>
                <w:spacing w:val="-55"/>
                <w:sz w:val="21"/>
                <w:szCs w:val="21"/>
              </w:rPr>
              <w:t xml:space="preserve"> </w:t>
            </w:r>
            <w:r>
              <w:rPr>
                <w:rFonts w:hint="default" w:ascii="Times New Roman" w:hAnsi="Times New Roman" w:eastAsia="仿宋_GB2312" w:cs="Times New Roman"/>
                <w:sz w:val="21"/>
                <w:szCs w:val="21"/>
              </w:rPr>
              <w:t>的风力发电机组。本项目属新能源发电领域，项目购置风力发电机、塔筒、箱式变压器、主变压器、GIS 高压设备、SVG无功补偿装置等先进设 备，项目设计代表年上网电量约为23000万kW·h，年等效满负荷 利用小时2300h。项目总用地面758.24 亩，其中永久用地 15.43 亩,</w:t>
            </w:r>
            <w:r>
              <w:rPr>
                <w:rFonts w:hint="default" w:ascii="Times New Roman" w:hAnsi="Times New Roman" w:eastAsia="仿宋_GB2312" w:cs="Times New Roman"/>
              </w:rPr>
              <w:t xml:space="preserve"> </w:t>
            </w:r>
            <w:r>
              <w:rPr>
                <w:rFonts w:hint="default" w:ascii="Times New Roman" w:hAnsi="Times New Roman" w:eastAsia="仿宋_GB2312" w:cs="Times New Roman"/>
                <w:sz w:val="21"/>
                <w:szCs w:val="21"/>
              </w:rPr>
              <w:t>临时用742.81 亩。</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8.9</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2023-2024</w:t>
            </w:r>
          </w:p>
        </w:tc>
        <w:tc>
          <w:tcPr>
            <w:tcW w:w="135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界首镇</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发展绿色新能源，优化能源结构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10" w:type="dxa"/>
            <w:vMerge w:val="continue"/>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b/>
                <w:bCs/>
                <w:kern w:val="0"/>
                <w:sz w:val="22"/>
              </w:rPr>
            </w:pP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both"/>
              <w:rPr>
                <w:rFonts w:hint="default" w:ascii="Times New Roman" w:hAnsi="Times New Roman" w:eastAsia="仿宋_GB2312" w:cs="Times New Roman"/>
                <w:kern w:val="0"/>
                <w:sz w:val="22"/>
              </w:rPr>
            </w:pPr>
          </w:p>
        </w:tc>
        <w:tc>
          <w:tcPr>
            <w:tcW w:w="2404"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兴安县工业</w:t>
            </w:r>
            <w:r>
              <w:rPr>
                <w:rFonts w:hint="default" w:ascii="Times New Roman" w:hAnsi="Times New Roman" w:eastAsia="仿宋_GB2312" w:cs="Times New Roman"/>
                <w:kern w:val="0"/>
                <w:sz w:val="21"/>
                <w:szCs w:val="21"/>
                <w:lang w:eastAsia="zh-CN" w:bidi="ar"/>
              </w:rPr>
              <w:t>集中</w:t>
            </w:r>
            <w:r>
              <w:rPr>
                <w:rFonts w:hint="default" w:ascii="Times New Roman" w:hAnsi="Times New Roman" w:eastAsia="仿宋_GB2312" w:cs="Times New Roman"/>
                <w:kern w:val="0"/>
                <w:sz w:val="21"/>
                <w:szCs w:val="21"/>
                <w:lang w:bidi="ar"/>
              </w:rPr>
              <w:t>区循环化改造工程</w:t>
            </w:r>
          </w:p>
        </w:tc>
        <w:tc>
          <w:tcPr>
            <w:tcW w:w="6237" w:type="dxa"/>
            <w:shd w:val="clear" w:color="auto" w:fill="auto"/>
            <w:vAlign w:val="center"/>
          </w:tcPr>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编制实施兴安县工业集中区循环化改造方案，依托园区内电子信息、新能源、新材料、生态建材、食品加工等产业基础，持续推进关键补链工程，构建循环经济产业链，打造一批示范企业。</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0.5</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2024-2026</w:t>
            </w:r>
          </w:p>
        </w:tc>
        <w:tc>
          <w:tcPr>
            <w:tcW w:w="135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eastAsia="zh-CN" w:bidi="ar"/>
              </w:rPr>
            </w:pPr>
            <w:r>
              <w:rPr>
                <w:rFonts w:hint="default" w:ascii="Times New Roman" w:hAnsi="Times New Roman" w:eastAsia="仿宋_GB2312" w:cs="Times New Roman"/>
                <w:kern w:val="0"/>
                <w:sz w:val="21"/>
                <w:szCs w:val="21"/>
                <w:lang w:eastAsia="zh-CN" w:bidi="ar"/>
              </w:rPr>
              <w:t>县工业园区管理中心</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提升资源能源利用效率，减少资源能源消耗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10" w:type="dxa"/>
            <w:vMerge w:val="continue"/>
            <w:vAlign w:val="center"/>
          </w:tcPr>
          <w:p>
            <w:pPr>
              <w:widowControl/>
              <w:snapToGrid w:val="0"/>
              <w:spacing w:line="240" w:lineRule="auto"/>
              <w:ind w:firstLine="0" w:firstLineChars="0"/>
              <w:jc w:val="left"/>
              <w:rPr>
                <w:rFonts w:hint="default" w:ascii="Times New Roman" w:hAnsi="Times New Roman" w:eastAsia="仿宋_GB2312" w:cs="Times New Roman"/>
                <w:b/>
                <w:bCs/>
                <w:kern w:val="0"/>
                <w:sz w:val="22"/>
              </w:rPr>
            </w:pP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both"/>
              <w:rPr>
                <w:rFonts w:hint="default" w:ascii="Times New Roman" w:hAnsi="Times New Roman" w:eastAsia="仿宋_GB2312" w:cs="Times New Roman"/>
                <w:kern w:val="0"/>
                <w:sz w:val="22"/>
              </w:rPr>
            </w:pPr>
          </w:p>
        </w:tc>
        <w:tc>
          <w:tcPr>
            <w:tcW w:w="2404"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农业特色种养产业集群发展工程</w:t>
            </w:r>
          </w:p>
        </w:tc>
        <w:tc>
          <w:tcPr>
            <w:tcW w:w="6237" w:type="dxa"/>
            <w:shd w:val="clear" w:color="auto" w:fill="auto"/>
            <w:vAlign w:val="center"/>
          </w:tcPr>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依托兴安县农业基础和特色，坚持绿色有机发展，重点打造“五集群一基地一示范园”（优质粮食产业集群、特优水果产业集群、优质畜禽产业集群、蔬菜产业集群、中草药产业集群；粮食加工基地；桂林市现代智慧农业产业示范园）。</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5</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2023-2026</w:t>
            </w:r>
          </w:p>
        </w:tc>
        <w:tc>
          <w:tcPr>
            <w:tcW w:w="135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县农业农村局</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促进产业绿色发展，提升产业附加值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10" w:type="dxa"/>
            <w:vMerge w:val="continue"/>
            <w:vAlign w:val="center"/>
          </w:tcPr>
          <w:p>
            <w:pPr>
              <w:widowControl/>
              <w:snapToGrid w:val="0"/>
              <w:spacing w:line="240" w:lineRule="auto"/>
              <w:ind w:firstLine="0" w:firstLineChars="0"/>
              <w:jc w:val="left"/>
              <w:rPr>
                <w:rFonts w:hint="default" w:ascii="Times New Roman" w:hAnsi="Times New Roman" w:eastAsia="仿宋_GB2312" w:cs="Times New Roman"/>
                <w:b/>
                <w:bCs/>
                <w:kern w:val="0"/>
                <w:sz w:val="22"/>
              </w:rPr>
            </w:pP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both"/>
              <w:rPr>
                <w:rFonts w:hint="default" w:ascii="Times New Roman" w:hAnsi="Times New Roman" w:eastAsia="仿宋_GB2312" w:cs="Times New Roman"/>
                <w:kern w:val="0"/>
                <w:sz w:val="22"/>
              </w:rPr>
            </w:pPr>
          </w:p>
        </w:tc>
        <w:tc>
          <w:tcPr>
            <w:tcW w:w="2404"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中国健康好乡村旅游康养项目</w:t>
            </w:r>
          </w:p>
        </w:tc>
        <w:tc>
          <w:tcPr>
            <w:tcW w:w="6237" w:type="dxa"/>
            <w:shd w:val="clear" w:color="auto" w:fill="auto"/>
            <w:vAlign w:val="center"/>
          </w:tcPr>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主要建设位于桐子坪村周边和忘忧谷区域内，规划面积2000亩，建设用地面积240亩。主要以康养项目打造和野生中药材种植、培育和基因保护为主,并做好中医药文化转播和瑶族文化挖掘。主要建设内容分为四期：</w:t>
            </w:r>
          </w:p>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一期：总建设用地50亩，建设面积10000㎡，建设内容包括接待中心、餐饮、住宿、书院、禅修、瑶医瑶药药浴中心。</w:t>
            </w:r>
          </w:p>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二期、三期、四期每期建设用地60亩，分别建设野生中药材博物馆、院士工作站、医养结合中医院，总建筑面积30000㎡。</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2023-2025</w:t>
            </w:r>
          </w:p>
        </w:tc>
        <w:tc>
          <w:tcPr>
            <w:tcW w:w="135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县文广体旅局、华江</w:t>
            </w:r>
            <w:r>
              <w:rPr>
                <w:rFonts w:hint="default" w:ascii="Times New Roman" w:hAnsi="Times New Roman" w:eastAsia="仿宋_GB2312" w:cs="Times New Roman"/>
                <w:kern w:val="0"/>
                <w:sz w:val="21"/>
                <w:szCs w:val="21"/>
                <w:lang w:eastAsia="zh-CN" w:bidi="ar"/>
              </w:rPr>
              <w:t>瑶族</w:t>
            </w:r>
            <w:r>
              <w:rPr>
                <w:rFonts w:hint="default" w:ascii="Times New Roman" w:hAnsi="Times New Roman" w:eastAsia="仿宋_GB2312" w:cs="Times New Roman"/>
                <w:kern w:val="0"/>
                <w:sz w:val="21"/>
                <w:szCs w:val="21"/>
                <w:lang w:bidi="ar"/>
              </w:rPr>
              <w:t>乡</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发展文旅产业，丰富生态文化供给，促进公众生态保护意识提升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10" w:type="dxa"/>
            <w:vMerge w:val="continue"/>
            <w:vAlign w:val="center"/>
          </w:tcPr>
          <w:p>
            <w:pPr>
              <w:widowControl/>
              <w:snapToGrid w:val="0"/>
              <w:spacing w:line="240" w:lineRule="auto"/>
              <w:ind w:firstLine="0" w:firstLineChars="0"/>
              <w:jc w:val="left"/>
              <w:rPr>
                <w:rFonts w:hint="default" w:ascii="Times New Roman" w:hAnsi="Times New Roman" w:eastAsia="仿宋_GB2312" w:cs="Times New Roman"/>
                <w:b/>
                <w:bCs/>
                <w:kern w:val="0"/>
                <w:sz w:val="22"/>
              </w:rPr>
            </w:pP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both"/>
              <w:rPr>
                <w:rFonts w:hint="default" w:ascii="Times New Roman" w:hAnsi="Times New Roman" w:eastAsia="仿宋_GB2312" w:cs="Times New Roman"/>
                <w:kern w:val="0"/>
                <w:sz w:val="22"/>
              </w:rPr>
            </w:pPr>
          </w:p>
        </w:tc>
        <w:tc>
          <w:tcPr>
            <w:tcW w:w="2404"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华江九寨项目</w:t>
            </w:r>
          </w:p>
        </w:tc>
        <w:tc>
          <w:tcPr>
            <w:tcW w:w="6237" w:type="dxa"/>
            <w:shd w:val="clear" w:color="auto" w:fill="auto"/>
            <w:vAlign w:val="center"/>
          </w:tcPr>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华江九寨”项目包含千祥瑶寨、桐子坪、龙潭江、高寨、塘坊边、青殿、梁家寨、凤凰寨、潘家寨等九个村寨，共355户，其中千祥瑶寨45户、桐子坪46户、龙潭江20户、高寨52户、塘坊边47户、青殿58户、梁家寨22户、凤凰寨26户、潘家寨39户。在做好规划设计的基础上，对各村寨立面进行特色改造，实施绿化亮化美化，开展道路、给排水管网、污水管网及特色景观建设，打造红色文化暨长征精神教育基地、民俗文化体验区等；在部分资源禀赋较好的村寨，通过招商引资建设中高端民宿。</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1.8</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2023-2024</w:t>
            </w:r>
          </w:p>
        </w:tc>
        <w:tc>
          <w:tcPr>
            <w:tcW w:w="1350" w:type="dxa"/>
            <w:shd w:val="clear" w:color="auto" w:fill="auto"/>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eastAsia="zh-CN" w:bidi="ar"/>
              </w:rPr>
              <w:t>广西灵渠</w:t>
            </w:r>
            <w:r>
              <w:rPr>
                <w:rFonts w:hint="default" w:ascii="Times New Roman" w:hAnsi="Times New Roman" w:eastAsia="仿宋_GB2312" w:cs="Times New Roman"/>
                <w:kern w:val="0"/>
                <w:sz w:val="21"/>
                <w:szCs w:val="21"/>
                <w:lang w:bidi="ar"/>
              </w:rPr>
              <w:t>文旅投公司</w:t>
            </w:r>
            <w:r>
              <w:rPr>
                <w:rFonts w:hint="default" w:ascii="Times New Roman" w:hAnsi="Times New Roman" w:eastAsia="仿宋_GB2312" w:cs="Times New Roman"/>
                <w:kern w:val="0"/>
                <w:sz w:val="21"/>
                <w:szCs w:val="21"/>
                <w:lang w:eastAsia="zh-CN" w:bidi="ar"/>
              </w:rPr>
              <w:t>、</w:t>
            </w:r>
            <w:r>
              <w:rPr>
                <w:rFonts w:hint="default" w:ascii="Times New Roman" w:hAnsi="Times New Roman" w:eastAsia="仿宋_GB2312" w:cs="Times New Roman"/>
                <w:kern w:val="0"/>
                <w:sz w:val="21"/>
                <w:szCs w:val="21"/>
                <w:lang w:bidi="ar"/>
              </w:rPr>
              <w:t>华江</w:t>
            </w:r>
            <w:r>
              <w:rPr>
                <w:rFonts w:hint="default" w:ascii="Times New Roman" w:hAnsi="Times New Roman" w:eastAsia="仿宋_GB2312" w:cs="Times New Roman"/>
                <w:kern w:val="0"/>
                <w:sz w:val="21"/>
                <w:szCs w:val="21"/>
                <w:lang w:eastAsia="zh-CN" w:bidi="ar"/>
              </w:rPr>
              <w:t>瑶族</w:t>
            </w:r>
            <w:r>
              <w:rPr>
                <w:rFonts w:hint="default" w:ascii="Times New Roman" w:hAnsi="Times New Roman" w:eastAsia="仿宋_GB2312" w:cs="Times New Roman"/>
                <w:kern w:val="0"/>
                <w:sz w:val="21"/>
                <w:szCs w:val="21"/>
                <w:lang w:bidi="ar"/>
              </w:rPr>
              <w:t>乡</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发展文旅产业，丰富生态文化供给，促进公众生态保护意识提升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710" w:type="dxa"/>
            <w:vMerge w:val="restart"/>
            <w:vAlign w:val="center"/>
          </w:tcPr>
          <w:p>
            <w:pPr>
              <w:widowControl/>
              <w:snapToGrid w:val="0"/>
              <w:spacing w:line="240" w:lineRule="auto"/>
              <w:ind w:firstLine="0" w:firstLineChars="0"/>
              <w:jc w:val="left"/>
              <w:rPr>
                <w:rFonts w:hint="default" w:ascii="Times New Roman" w:hAnsi="Times New Roman" w:eastAsia="仿宋_GB2312" w:cs="Times New Roman"/>
                <w:b/>
                <w:bCs/>
                <w:kern w:val="0"/>
                <w:sz w:val="22"/>
              </w:rPr>
            </w:pPr>
            <w:r>
              <w:rPr>
                <w:rFonts w:hint="default" w:ascii="Times New Roman" w:hAnsi="Times New Roman" w:eastAsia="仿宋_GB2312" w:cs="Times New Roman"/>
                <w:b/>
                <w:bCs/>
                <w:kern w:val="0"/>
                <w:sz w:val="22"/>
              </w:rPr>
              <w:t>生态经济</w:t>
            </w: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both"/>
              <w:rPr>
                <w:rFonts w:hint="default" w:ascii="Times New Roman" w:hAnsi="Times New Roman" w:eastAsia="仿宋_GB2312" w:cs="Times New Roman"/>
                <w:kern w:val="0"/>
                <w:sz w:val="22"/>
              </w:rPr>
            </w:pPr>
          </w:p>
        </w:tc>
        <w:tc>
          <w:tcPr>
            <w:tcW w:w="2404"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大中型灌区续建配套与节水改造工程</w:t>
            </w:r>
          </w:p>
        </w:tc>
        <w:tc>
          <w:tcPr>
            <w:tcW w:w="6237" w:type="dxa"/>
            <w:shd w:val="clear" w:color="auto" w:fill="auto"/>
            <w:vAlign w:val="center"/>
          </w:tcPr>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申报实施大中型灌区续建配套与节水改造工程，加快补齐大中型灌区工程完好率低、设施不配套等短板，提高供水效率和效益。</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0.1</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2023-2026</w:t>
            </w:r>
          </w:p>
        </w:tc>
        <w:tc>
          <w:tcPr>
            <w:tcW w:w="135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县水利局</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完善基础设施，促进产业发展；提升水资源利用效率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10" w:type="dxa"/>
            <w:vMerge w:val="continue"/>
            <w:vAlign w:val="center"/>
          </w:tcPr>
          <w:p>
            <w:pPr>
              <w:widowControl/>
              <w:snapToGrid w:val="0"/>
              <w:spacing w:line="240" w:lineRule="auto"/>
              <w:ind w:firstLine="0" w:firstLineChars="0"/>
              <w:jc w:val="left"/>
              <w:rPr>
                <w:rFonts w:hint="default" w:ascii="Times New Roman" w:hAnsi="Times New Roman" w:eastAsia="仿宋_GB2312" w:cs="Times New Roman"/>
                <w:b/>
                <w:bCs/>
                <w:kern w:val="0"/>
                <w:sz w:val="22"/>
              </w:rPr>
            </w:pP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both"/>
              <w:rPr>
                <w:rFonts w:hint="default" w:ascii="Times New Roman" w:hAnsi="Times New Roman" w:eastAsia="仿宋_GB2312" w:cs="Times New Roman"/>
                <w:kern w:val="0"/>
                <w:sz w:val="22"/>
              </w:rPr>
            </w:pPr>
          </w:p>
        </w:tc>
        <w:tc>
          <w:tcPr>
            <w:tcW w:w="2404"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秸秆综合利用工程</w:t>
            </w:r>
          </w:p>
        </w:tc>
        <w:tc>
          <w:tcPr>
            <w:tcW w:w="6237"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坚持农用优先、就地就近，以秸秆集约化、产业化、高值化为重点，推进秸秆综合利用。健全秸秆收储运体系，完善秸秆资源台账。</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0.03</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2023-2025</w:t>
            </w:r>
          </w:p>
        </w:tc>
        <w:tc>
          <w:tcPr>
            <w:tcW w:w="135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县农业局</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促进资源利用，增加经济收入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710" w:type="dxa"/>
            <w:vMerge w:val="restart"/>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b/>
                <w:bCs/>
                <w:kern w:val="0"/>
                <w:sz w:val="22"/>
              </w:rPr>
            </w:pPr>
            <w:r>
              <w:rPr>
                <w:rFonts w:hint="default" w:ascii="Times New Roman" w:hAnsi="Times New Roman" w:eastAsia="仿宋_GB2312" w:cs="Times New Roman"/>
                <w:b/>
                <w:bCs/>
                <w:kern w:val="0"/>
                <w:sz w:val="22"/>
              </w:rPr>
              <w:t>生态生活</w:t>
            </w: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both"/>
              <w:rPr>
                <w:rFonts w:hint="default" w:ascii="Times New Roman" w:hAnsi="Times New Roman" w:eastAsia="仿宋_GB2312" w:cs="Times New Roman"/>
                <w:kern w:val="0"/>
                <w:sz w:val="22"/>
              </w:rPr>
            </w:pPr>
          </w:p>
        </w:tc>
        <w:tc>
          <w:tcPr>
            <w:tcW w:w="2404"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兴安县城污水管网收集能力提升改造工程</w:t>
            </w:r>
          </w:p>
        </w:tc>
        <w:tc>
          <w:tcPr>
            <w:tcW w:w="6237" w:type="dxa"/>
            <w:shd w:val="clear" w:color="auto" w:fill="auto"/>
            <w:vAlign w:val="center"/>
          </w:tcPr>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在兴安县城区敷设DN160HDPE入户污水管15160m、DN200HDPE污水管57520m、DN300HDPE污水管2400m、DN400HDPE污水管1700m、DN500HDPE污水管10600m、DN600HDPE污水管5900m，配套建设污水检查井，实施道路路面破除及修复等工程。</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0.850</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2023-2025</w:t>
            </w:r>
          </w:p>
        </w:tc>
        <w:tc>
          <w:tcPr>
            <w:tcW w:w="135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eastAsia="zh-CN" w:bidi="ar"/>
              </w:rPr>
            </w:pPr>
            <w:r>
              <w:rPr>
                <w:rFonts w:hint="default" w:ascii="Times New Roman" w:hAnsi="Times New Roman" w:eastAsia="仿宋_GB2312" w:cs="Times New Roman"/>
                <w:kern w:val="0"/>
                <w:sz w:val="21"/>
                <w:szCs w:val="21"/>
                <w:lang w:bidi="ar"/>
              </w:rPr>
              <w:t>县</w:t>
            </w:r>
            <w:r>
              <w:rPr>
                <w:rFonts w:hint="default" w:ascii="Times New Roman" w:hAnsi="Times New Roman" w:eastAsia="仿宋_GB2312" w:cs="Times New Roman"/>
                <w:kern w:val="0"/>
                <w:sz w:val="21"/>
                <w:szCs w:val="21"/>
                <w:lang w:eastAsia="zh-CN" w:bidi="ar"/>
              </w:rPr>
              <w:t>城市监督管理局</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完善基础设施，提升区域水环境质量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710" w:type="dxa"/>
            <w:vMerge w:val="continue"/>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b/>
                <w:bCs/>
                <w:kern w:val="0"/>
                <w:sz w:val="22"/>
              </w:rPr>
            </w:pP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both"/>
              <w:rPr>
                <w:rFonts w:hint="default" w:ascii="Times New Roman" w:hAnsi="Times New Roman" w:eastAsia="仿宋_GB2312" w:cs="Times New Roman"/>
                <w:kern w:val="0"/>
                <w:sz w:val="22"/>
              </w:rPr>
            </w:pPr>
          </w:p>
        </w:tc>
        <w:tc>
          <w:tcPr>
            <w:tcW w:w="2404"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兴安县乡级污水处理厂建设项目</w:t>
            </w:r>
          </w:p>
        </w:tc>
        <w:tc>
          <w:tcPr>
            <w:tcW w:w="6237" w:type="dxa"/>
            <w:shd w:val="clear" w:color="auto" w:fill="auto"/>
            <w:vAlign w:val="center"/>
          </w:tcPr>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18"/>
                <w:szCs w:val="18"/>
              </w:rPr>
              <w:t>崔家乡、漠川乡、白石乡污水处理厂建设项目。</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18"/>
                <w:szCs w:val="18"/>
              </w:rPr>
              <w:t>0.800</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2023-2025</w:t>
            </w:r>
          </w:p>
        </w:tc>
        <w:tc>
          <w:tcPr>
            <w:tcW w:w="135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相关乡（镇）人民政府</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完善基础设施，提升区域水环境质量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710" w:type="dxa"/>
            <w:vMerge w:val="continue"/>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b/>
                <w:bCs/>
                <w:kern w:val="0"/>
                <w:sz w:val="22"/>
              </w:rPr>
            </w:pP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both"/>
              <w:rPr>
                <w:rFonts w:hint="default" w:ascii="Times New Roman" w:hAnsi="Times New Roman" w:eastAsia="仿宋_GB2312" w:cs="Times New Roman"/>
                <w:kern w:val="0"/>
                <w:sz w:val="22"/>
              </w:rPr>
            </w:pPr>
          </w:p>
        </w:tc>
        <w:tc>
          <w:tcPr>
            <w:tcW w:w="2404"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乡村振兴农村生态环境基础设施农村生活污水处理设施建设项目</w:t>
            </w:r>
          </w:p>
        </w:tc>
        <w:tc>
          <w:tcPr>
            <w:tcW w:w="6237" w:type="dxa"/>
            <w:shd w:val="clear" w:color="auto" w:fill="auto"/>
            <w:vAlign w:val="center"/>
          </w:tcPr>
          <w:p>
            <w:pPr>
              <w:widowControl/>
              <w:snapToGrid w:val="0"/>
              <w:spacing w:line="240" w:lineRule="auto"/>
              <w:ind w:firstLine="0" w:firstLineChars="0"/>
              <w:jc w:val="left"/>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rPr>
              <w:t>自然村屯生活污水处理设施及配套管网。</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rPr>
              <w:t>5.895</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2023-2025</w:t>
            </w:r>
          </w:p>
        </w:tc>
        <w:tc>
          <w:tcPr>
            <w:tcW w:w="135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相关乡（镇）人民政府</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完善基础设施，提升区域水环境质量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10" w:type="dxa"/>
            <w:vMerge w:val="continue"/>
            <w:shd w:val="clear" w:color="auto" w:fill="auto"/>
            <w:vAlign w:val="center"/>
          </w:tcPr>
          <w:p>
            <w:pPr>
              <w:widowControl/>
              <w:snapToGrid w:val="0"/>
              <w:spacing w:line="240" w:lineRule="auto"/>
              <w:ind w:firstLine="0" w:firstLineChars="0"/>
              <w:jc w:val="left"/>
              <w:rPr>
                <w:rFonts w:hint="default" w:ascii="Times New Roman" w:hAnsi="Times New Roman" w:eastAsia="仿宋_GB2312" w:cs="Times New Roman"/>
                <w:b/>
                <w:bCs/>
                <w:kern w:val="0"/>
                <w:sz w:val="22"/>
              </w:rPr>
            </w:pP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both"/>
              <w:rPr>
                <w:rFonts w:hint="default" w:ascii="Times New Roman" w:hAnsi="Times New Roman" w:eastAsia="仿宋_GB2312" w:cs="Times New Roman"/>
                <w:kern w:val="0"/>
                <w:sz w:val="22"/>
              </w:rPr>
            </w:pPr>
          </w:p>
        </w:tc>
        <w:tc>
          <w:tcPr>
            <w:tcW w:w="2404"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兴安县水源地保护工程</w:t>
            </w:r>
          </w:p>
        </w:tc>
        <w:tc>
          <w:tcPr>
            <w:tcW w:w="6237" w:type="dxa"/>
            <w:shd w:val="clear" w:color="auto" w:fill="auto"/>
            <w:vAlign w:val="center"/>
          </w:tcPr>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主要实施兴安县五里峡水源地、常家水源地、华江水源地、严关水源地保护工程。</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0.075</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2023-2025</w:t>
            </w:r>
          </w:p>
        </w:tc>
        <w:tc>
          <w:tcPr>
            <w:tcW w:w="135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县水利局</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完善基础设施，保障饮用水安全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10" w:type="dxa"/>
            <w:vMerge w:val="continue"/>
            <w:shd w:val="clear" w:color="auto" w:fill="auto"/>
            <w:vAlign w:val="center"/>
          </w:tcPr>
          <w:p>
            <w:pPr>
              <w:widowControl/>
              <w:snapToGrid w:val="0"/>
              <w:spacing w:line="240" w:lineRule="auto"/>
              <w:ind w:firstLine="0" w:firstLineChars="0"/>
              <w:jc w:val="left"/>
              <w:rPr>
                <w:rFonts w:hint="default" w:ascii="Times New Roman" w:hAnsi="Times New Roman" w:eastAsia="仿宋_GB2312" w:cs="Times New Roman"/>
                <w:b/>
                <w:bCs/>
                <w:kern w:val="0"/>
                <w:sz w:val="22"/>
              </w:rPr>
            </w:pP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both"/>
              <w:rPr>
                <w:rFonts w:hint="default" w:ascii="Times New Roman" w:hAnsi="Times New Roman" w:eastAsia="仿宋_GB2312" w:cs="Times New Roman"/>
                <w:kern w:val="0"/>
                <w:sz w:val="22"/>
              </w:rPr>
            </w:pPr>
          </w:p>
        </w:tc>
        <w:tc>
          <w:tcPr>
            <w:tcW w:w="2404"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乡村振兴农村生态环境基础设施农村生活污水处理设施建设项目</w:t>
            </w:r>
          </w:p>
        </w:tc>
        <w:tc>
          <w:tcPr>
            <w:tcW w:w="6237" w:type="dxa"/>
            <w:shd w:val="clear" w:color="auto" w:fill="auto"/>
            <w:vAlign w:val="center"/>
          </w:tcPr>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建设辖区乡（镇）自然村屯生活污水处理设施及配套管网。</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5.895</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2023-2025</w:t>
            </w:r>
          </w:p>
        </w:tc>
        <w:tc>
          <w:tcPr>
            <w:tcW w:w="135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县人民政府</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完善基础设施，提升区域水环境质量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10" w:type="dxa"/>
            <w:vMerge w:val="continue"/>
            <w:shd w:val="clear" w:color="auto" w:fill="auto"/>
            <w:vAlign w:val="center"/>
          </w:tcPr>
          <w:p>
            <w:pPr>
              <w:widowControl/>
              <w:snapToGrid w:val="0"/>
              <w:spacing w:line="240" w:lineRule="auto"/>
              <w:ind w:firstLine="0" w:firstLineChars="0"/>
              <w:jc w:val="left"/>
              <w:rPr>
                <w:rFonts w:hint="default" w:ascii="Times New Roman" w:hAnsi="Times New Roman" w:eastAsia="仿宋_GB2312" w:cs="Times New Roman"/>
                <w:b/>
                <w:bCs/>
                <w:kern w:val="0"/>
                <w:sz w:val="22"/>
              </w:rPr>
            </w:pP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both"/>
              <w:rPr>
                <w:rFonts w:hint="default" w:ascii="Times New Roman" w:hAnsi="Times New Roman" w:eastAsia="仿宋_GB2312" w:cs="Times New Roman"/>
                <w:kern w:val="0"/>
                <w:sz w:val="22"/>
              </w:rPr>
            </w:pPr>
          </w:p>
        </w:tc>
        <w:tc>
          <w:tcPr>
            <w:tcW w:w="2404"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兴安县老旧小区垃圾分类配套基础设施建设项目</w:t>
            </w:r>
          </w:p>
        </w:tc>
        <w:tc>
          <w:tcPr>
            <w:tcW w:w="6237" w:type="dxa"/>
            <w:shd w:val="clear" w:color="auto" w:fill="auto"/>
            <w:vAlign w:val="center"/>
          </w:tcPr>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建设餐厨垃圾无害化处理设施1座，处理规模为 40t/d；建设大件垃圾处理设施1座，处理规模为20t/d，；建设有毒有害垃圾临时贮存库房1座，建筑面积 300m²。根据项目建设需要，购买分类垃圾转运车辆及分类垃圾桶等生活垃圾减量化、资源化、无害化处理设施。</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0.200</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2023-2025</w:t>
            </w:r>
          </w:p>
        </w:tc>
        <w:tc>
          <w:tcPr>
            <w:tcW w:w="135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县</w:t>
            </w:r>
            <w:r>
              <w:rPr>
                <w:rFonts w:hint="default" w:ascii="Times New Roman" w:hAnsi="Times New Roman" w:eastAsia="仿宋_GB2312" w:cs="Times New Roman"/>
                <w:kern w:val="0"/>
                <w:sz w:val="21"/>
                <w:szCs w:val="21"/>
                <w:lang w:eastAsia="zh-CN" w:bidi="ar"/>
              </w:rPr>
              <w:t>城市监督管理局</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完善基础设施，提升垃圾处置能力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10" w:type="dxa"/>
            <w:vMerge w:val="continue"/>
            <w:shd w:val="clear" w:color="auto" w:fill="auto"/>
            <w:vAlign w:val="center"/>
          </w:tcPr>
          <w:p>
            <w:pPr>
              <w:widowControl/>
              <w:snapToGrid w:val="0"/>
              <w:spacing w:line="240" w:lineRule="auto"/>
              <w:ind w:firstLine="0" w:firstLineChars="0"/>
              <w:jc w:val="left"/>
              <w:rPr>
                <w:rFonts w:hint="default" w:ascii="Times New Roman" w:hAnsi="Times New Roman" w:eastAsia="仿宋_GB2312" w:cs="Times New Roman"/>
                <w:b/>
                <w:bCs/>
                <w:kern w:val="0"/>
                <w:sz w:val="22"/>
              </w:rPr>
            </w:pP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both"/>
              <w:rPr>
                <w:rFonts w:hint="default" w:ascii="Times New Roman" w:hAnsi="Times New Roman" w:eastAsia="仿宋_GB2312" w:cs="Times New Roman"/>
                <w:kern w:val="0"/>
                <w:sz w:val="22"/>
              </w:rPr>
            </w:pPr>
          </w:p>
        </w:tc>
        <w:tc>
          <w:tcPr>
            <w:tcW w:w="2404"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农村生活垃圾分类设施建设项目</w:t>
            </w:r>
          </w:p>
        </w:tc>
        <w:tc>
          <w:tcPr>
            <w:tcW w:w="6237" w:type="dxa"/>
            <w:shd w:val="clear" w:color="auto" w:fill="auto"/>
            <w:vAlign w:val="center"/>
          </w:tcPr>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按照自治区生活垃圾分类工作要求，在乡（镇）建设生活垃圾分类收集、转运等设施。</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0.500</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2023</w:t>
            </w:r>
          </w:p>
        </w:tc>
        <w:tc>
          <w:tcPr>
            <w:tcW w:w="135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各乡（镇）人民政府</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完善基础设施，提升农村环境风貌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3" w:hRule="atLeast"/>
          <w:jc w:val="center"/>
        </w:trPr>
        <w:tc>
          <w:tcPr>
            <w:tcW w:w="710" w:type="dxa"/>
            <w:vMerge w:val="restart"/>
            <w:shd w:val="clear" w:color="auto" w:fill="auto"/>
            <w:vAlign w:val="center"/>
          </w:tcPr>
          <w:p>
            <w:pPr>
              <w:widowControl/>
              <w:snapToGrid w:val="0"/>
              <w:spacing w:line="240" w:lineRule="auto"/>
              <w:ind w:firstLine="0" w:firstLineChars="0"/>
              <w:jc w:val="left"/>
              <w:rPr>
                <w:rFonts w:hint="default" w:ascii="Times New Roman" w:hAnsi="Times New Roman" w:eastAsia="仿宋_GB2312" w:cs="Times New Roman"/>
                <w:b/>
                <w:bCs/>
                <w:kern w:val="0"/>
                <w:sz w:val="22"/>
              </w:rPr>
            </w:pPr>
            <w:r>
              <w:rPr>
                <w:rFonts w:hint="default" w:ascii="Times New Roman" w:hAnsi="Times New Roman" w:eastAsia="仿宋_GB2312" w:cs="Times New Roman"/>
                <w:b/>
                <w:bCs/>
                <w:kern w:val="0"/>
                <w:sz w:val="22"/>
              </w:rPr>
              <w:t>生态文化</w:t>
            </w: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both"/>
              <w:rPr>
                <w:rFonts w:hint="default" w:ascii="Times New Roman" w:hAnsi="Times New Roman" w:eastAsia="仿宋_GB2312" w:cs="Times New Roman"/>
                <w:kern w:val="0"/>
                <w:sz w:val="22"/>
              </w:rPr>
            </w:pPr>
          </w:p>
        </w:tc>
        <w:tc>
          <w:tcPr>
            <w:tcW w:w="2404"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灵渠保护提升相关项目</w:t>
            </w:r>
          </w:p>
        </w:tc>
        <w:tc>
          <w:tcPr>
            <w:tcW w:w="6237" w:type="dxa"/>
            <w:shd w:val="clear" w:color="auto" w:fill="auto"/>
            <w:vAlign w:val="center"/>
          </w:tcPr>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（一）灵渠本体修缮项目</w:t>
            </w:r>
          </w:p>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（二）灵渠南北渠清淤项目</w:t>
            </w:r>
          </w:p>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（三）灵渠安防工程</w:t>
            </w:r>
          </w:p>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（四）灵渠展示中心（兴安县博物馆）馆藏文物预防性保护</w:t>
            </w:r>
          </w:p>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（五）灵渠南渠三米文化旅游度假区（国家级田园综合体）项目</w:t>
            </w:r>
          </w:p>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（六）灵渠景区（核心景区及扩展区）国家级旅游度假区项目</w:t>
            </w:r>
          </w:p>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（七）水街景区国家级旅游休闲街区项目</w:t>
            </w:r>
          </w:p>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（八）灵渠北渠幸福花田乡村休闲旅游区项目</w:t>
            </w:r>
          </w:p>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 xml:space="preserve">（九）灵渠幻城乐园（原世纪冰川）项目  </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29</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2023-2025</w:t>
            </w:r>
          </w:p>
        </w:tc>
        <w:tc>
          <w:tcPr>
            <w:tcW w:w="135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县文广体旅局</w:t>
            </w:r>
            <w:r>
              <w:rPr>
                <w:rFonts w:hint="eastAsia" w:cs="Times New Roman"/>
                <w:kern w:val="0"/>
                <w:sz w:val="21"/>
                <w:szCs w:val="21"/>
                <w:lang w:eastAsia="zh-CN" w:bidi="ar"/>
              </w:rPr>
              <w:t>、</w:t>
            </w:r>
            <w:r>
              <w:rPr>
                <w:rFonts w:hint="default" w:ascii="Times New Roman" w:hAnsi="Times New Roman" w:eastAsia="仿宋_GB2312" w:cs="Times New Roman"/>
                <w:kern w:val="0"/>
                <w:sz w:val="21"/>
                <w:szCs w:val="21"/>
                <w:lang w:eastAsia="zh-CN" w:bidi="ar"/>
              </w:rPr>
              <w:t>广西灵渠</w:t>
            </w:r>
            <w:r>
              <w:rPr>
                <w:rFonts w:hint="default" w:ascii="Times New Roman" w:hAnsi="Times New Roman" w:eastAsia="仿宋_GB2312" w:cs="Times New Roman"/>
                <w:kern w:val="0"/>
                <w:sz w:val="21"/>
                <w:szCs w:val="21"/>
                <w:lang w:bidi="ar"/>
              </w:rPr>
              <w:t>文旅投公司</w:t>
            </w:r>
            <w:r>
              <w:rPr>
                <w:rFonts w:hint="eastAsia" w:cs="Times New Roman"/>
                <w:kern w:val="0"/>
                <w:sz w:val="21"/>
                <w:szCs w:val="21"/>
                <w:lang w:eastAsia="zh-CN" w:bidi="ar"/>
              </w:rPr>
              <w:t>、</w:t>
            </w:r>
            <w:r>
              <w:rPr>
                <w:rFonts w:hint="default" w:ascii="Times New Roman" w:hAnsi="Times New Roman" w:eastAsia="仿宋_GB2312" w:cs="Times New Roman"/>
                <w:kern w:val="0"/>
                <w:sz w:val="21"/>
                <w:szCs w:val="21"/>
                <w:lang w:bidi="ar"/>
              </w:rPr>
              <w:t>灵渠博物院</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发展文旅产业，丰富生态文化供给，促进公众生态保护意识提升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atLeast"/>
          <w:jc w:val="center"/>
        </w:trPr>
        <w:tc>
          <w:tcPr>
            <w:tcW w:w="710" w:type="dxa"/>
            <w:vMerge w:val="continue"/>
            <w:shd w:val="clear" w:color="auto" w:fill="auto"/>
            <w:vAlign w:val="center"/>
          </w:tcPr>
          <w:p>
            <w:pPr>
              <w:widowControl/>
              <w:snapToGrid w:val="0"/>
              <w:spacing w:line="240" w:lineRule="auto"/>
              <w:ind w:firstLine="0" w:firstLineChars="0"/>
              <w:jc w:val="left"/>
              <w:rPr>
                <w:rFonts w:hint="default" w:ascii="Times New Roman" w:hAnsi="Times New Roman" w:eastAsia="仿宋_GB2312" w:cs="Times New Roman"/>
                <w:b/>
                <w:bCs/>
                <w:kern w:val="0"/>
                <w:sz w:val="22"/>
              </w:rPr>
            </w:pP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both"/>
              <w:rPr>
                <w:rFonts w:hint="default" w:ascii="Times New Roman" w:hAnsi="Times New Roman" w:eastAsia="仿宋_GB2312" w:cs="Times New Roman"/>
                <w:kern w:val="0"/>
                <w:sz w:val="22"/>
              </w:rPr>
            </w:pPr>
          </w:p>
        </w:tc>
        <w:tc>
          <w:tcPr>
            <w:tcW w:w="2404"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生态文化载体建设</w:t>
            </w:r>
          </w:p>
        </w:tc>
        <w:tc>
          <w:tcPr>
            <w:tcW w:w="6237" w:type="dxa"/>
            <w:shd w:val="clear" w:color="auto" w:fill="auto"/>
            <w:vAlign w:val="center"/>
          </w:tcPr>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提升县“三馆”及乡（镇）文化站生态文化教育功能，增加生态文化图书、影像资料。完善猫儿山景区科普长廊、科普标识牌、解说系统等设施建设。在灵渠展示中心（兴安县博物馆）增加生态科普展示区，提升生态文化教育功能。到2027年，把兴安县灵渠博物馆建设成为本地生态环境宣传教育基地。</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0.06</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2023-2030</w:t>
            </w:r>
          </w:p>
        </w:tc>
        <w:tc>
          <w:tcPr>
            <w:tcW w:w="135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县文广体旅局、兴安生态环境局</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丰富生态文化供给，促进公众生态保护意识提升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710" w:type="dxa"/>
            <w:vMerge w:val="continue"/>
            <w:shd w:val="clear" w:color="auto" w:fill="auto"/>
            <w:vAlign w:val="center"/>
          </w:tcPr>
          <w:p>
            <w:pPr>
              <w:widowControl/>
              <w:snapToGrid w:val="0"/>
              <w:spacing w:line="240" w:lineRule="auto"/>
              <w:ind w:firstLine="0" w:firstLineChars="0"/>
              <w:jc w:val="left"/>
              <w:rPr>
                <w:rFonts w:hint="default" w:ascii="Times New Roman" w:hAnsi="Times New Roman" w:eastAsia="仿宋_GB2312" w:cs="Times New Roman"/>
                <w:b/>
                <w:bCs/>
                <w:kern w:val="0"/>
                <w:sz w:val="22"/>
              </w:rPr>
            </w:pPr>
          </w:p>
        </w:tc>
        <w:tc>
          <w:tcPr>
            <w:tcW w:w="709" w:type="dxa"/>
            <w:shd w:val="clear" w:color="auto" w:fill="auto"/>
            <w:vAlign w:val="center"/>
          </w:tcPr>
          <w:p>
            <w:pPr>
              <w:pStyle w:val="22"/>
              <w:widowControl/>
              <w:numPr>
                <w:ilvl w:val="0"/>
                <w:numId w:val="1"/>
              </w:numPr>
              <w:tabs>
                <w:tab w:val="left" w:pos="620"/>
              </w:tabs>
              <w:snapToGrid w:val="0"/>
              <w:spacing w:line="240" w:lineRule="auto"/>
              <w:ind w:left="0" w:firstLine="0" w:firstLineChars="0"/>
              <w:jc w:val="both"/>
              <w:rPr>
                <w:rFonts w:hint="default" w:ascii="Times New Roman" w:hAnsi="Times New Roman" w:eastAsia="仿宋_GB2312" w:cs="Times New Roman"/>
                <w:kern w:val="0"/>
                <w:sz w:val="22"/>
              </w:rPr>
            </w:pPr>
          </w:p>
        </w:tc>
        <w:tc>
          <w:tcPr>
            <w:tcW w:w="2404"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生态文明示范区创建</w:t>
            </w:r>
          </w:p>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宣传</w:t>
            </w:r>
          </w:p>
        </w:tc>
        <w:tc>
          <w:tcPr>
            <w:tcW w:w="6237" w:type="dxa"/>
            <w:shd w:val="clear" w:color="auto" w:fill="auto"/>
            <w:vAlign w:val="center"/>
          </w:tcPr>
          <w:p>
            <w:pPr>
              <w:widowControl/>
              <w:snapToGrid w:val="0"/>
              <w:spacing w:line="240" w:lineRule="auto"/>
              <w:ind w:firstLine="0" w:firstLineChars="0"/>
              <w:jc w:val="left"/>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在广场公园、景区、公交站亭、公交车车体、出租车车载电子显示屏、商场宾馆、楼宇外侧、社区宣传栏、乡村文化墙等公共场所适当设立生态文明宣传画、宣传标语、公益广告等。</w:t>
            </w:r>
          </w:p>
        </w:tc>
        <w:tc>
          <w:tcPr>
            <w:tcW w:w="111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0.02</w:t>
            </w:r>
          </w:p>
        </w:tc>
        <w:tc>
          <w:tcPr>
            <w:tcW w:w="778"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2023-2030</w:t>
            </w:r>
          </w:p>
        </w:tc>
        <w:tc>
          <w:tcPr>
            <w:tcW w:w="1350" w:type="dxa"/>
            <w:shd w:val="clear" w:color="auto" w:fill="auto"/>
            <w:vAlign w:val="center"/>
          </w:tcPr>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兴安生态</w:t>
            </w:r>
          </w:p>
          <w:p>
            <w:pPr>
              <w:widowControl/>
              <w:snapToGrid w:val="0"/>
              <w:spacing w:line="240" w:lineRule="auto"/>
              <w:ind w:firstLine="0" w:firstLineChars="0"/>
              <w:jc w:val="center"/>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环境局</w:t>
            </w:r>
          </w:p>
        </w:tc>
        <w:tc>
          <w:tcPr>
            <w:tcW w:w="2034" w:type="dxa"/>
            <w:vAlign w:val="center"/>
          </w:tcPr>
          <w:p>
            <w:pPr>
              <w:widowControl/>
              <w:snapToGrid w:val="0"/>
              <w:spacing w:line="240" w:lineRule="auto"/>
              <w:ind w:firstLine="0" w:firstLineChars="0"/>
              <w:rPr>
                <w:rFonts w:hint="default" w:ascii="Times New Roman" w:hAnsi="Times New Roman" w:eastAsia="仿宋_GB2312" w:cs="Times New Roman"/>
                <w:kern w:val="0"/>
                <w:sz w:val="21"/>
                <w:szCs w:val="21"/>
                <w:lang w:bidi="ar"/>
              </w:rPr>
            </w:pPr>
            <w:r>
              <w:rPr>
                <w:rFonts w:hint="default" w:ascii="Times New Roman" w:hAnsi="Times New Roman" w:eastAsia="仿宋_GB2312" w:cs="Times New Roman"/>
                <w:kern w:val="0"/>
                <w:sz w:val="21"/>
                <w:szCs w:val="21"/>
                <w:lang w:bidi="ar"/>
              </w:rPr>
              <w:t>丰富生态文化供给，促进公众生态保护意识提升</w:t>
            </w:r>
          </w:p>
        </w:tc>
      </w:tr>
    </w:tbl>
    <w:p>
      <w:pPr>
        <w:ind w:firstLine="560"/>
        <w:rPr>
          <w:rFonts w:hint="default" w:ascii="Times New Roman" w:hAnsi="Times New Roman" w:cs="Times New Roman"/>
        </w:rPr>
      </w:pPr>
      <w:r>
        <w:rPr>
          <w:rFonts w:hint="default" w:ascii="Times New Roman" w:hAnsi="Times New Roman" w:cs="Times New Roman"/>
        </w:rPr>
        <w:br w:type="page"/>
      </w:r>
    </w:p>
    <w:p>
      <w:pPr>
        <w:spacing w:after="156" w:afterLines="50"/>
        <w:ind w:firstLine="0" w:firstLineChars="0"/>
        <w:jc w:val="center"/>
        <w:outlineLvl w:val="0"/>
        <w:rPr>
          <w:rFonts w:hint="default" w:ascii="Times New Roman" w:hAnsi="Times New Roman" w:eastAsia="黑体" w:cs="Times New Roman"/>
          <w:b/>
          <w:bCs/>
          <w:sz w:val="36"/>
          <w:szCs w:val="36"/>
        </w:rPr>
        <w:sectPr>
          <w:pgSz w:w="16838" w:h="11906" w:orient="landscape"/>
          <w:pgMar w:top="1417" w:right="1440" w:bottom="1417" w:left="1440" w:header="851" w:footer="992" w:gutter="0"/>
          <w:cols w:space="0" w:num="1"/>
          <w:rtlGutter w:val="0"/>
          <w:docGrid w:type="linesAndChars" w:linePitch="394" w:charSpace="0"/>
        </w:sectPr>
      </w:pPr>
      <w:bookmarkStart w:id="104" w:name="_Toc151734579"/>
    </w:p>
    <w:p>
      <w:pPr>
        <w:spacing w:after="156" w:afterLines="50"/>
        <w:ind w:firstLine="0" w:firstLineChars="0"/>
        <w:jc w:val="center"/>
        <w:outlineLvl w:val="0"/>
        <w:rPr>
          <w:rFonts w:hint="default" w:ascii="Times New Roman" w:hAnsi="Times New Roman" w:eastAsia="黑体" w:cs="Times New Roman"/>
          <w:b/>
          <w:bCs/>
          <w:sz w:val="36"/>
          <w:szCs w:val="36"/>
        </w:rPr>
      </w:pPr>
      <w:bookmarkStart w:id="105" w:name="_Toc153528960"/>
      <w:r>
        <w:rPr>
          <w:rFonts w:hint="default" w:ascii="Times New Roman" w:hAnsi="Times New Roman" w:eastAsia="黑体" w:cs="Times New Roman"/>
          <w:b/>
          <w:bCs/>
          <w:sz w:val="36"/>
          <w:szCs w:val="36"/>
        </w:rPr>
        <w:t>第五章 保障措施</w:t>
      </w:r>
      <w:bookmarkEnd w:id="104"/>
      <w:bookmarkEnd w:id="105"/>
    </w:p>
    <w:p>
      <w:pPr>
        <w:ind w:firstLine="0" w:firstLineChars="0"/>
        <w:jc w:val="center"/>
        <w:outlineLvl w:val="1"/>
        <w:rPr>
          <w:rFonts w:hint="default" w:ascii="Times New Roman" w:hAnsi="Times New Roman" w:eastAsia="楷体" w:cs="Times New Roman"/>
          <w:sz w:val="32"/>
          <w:szCs w:val="24"/>
        </w:rPr>
      </w:pPr>
      <w:bookmarkStart w:id="106" w:name="_Toc151734580"/>
      <w:bookmarkStart w:id="107" w:name="_Toc153528961"/>
      <w:r>
        <w:rPr>
          <w:rFonts w:hint="default" w:ascii="Times New Roman" w:hAnsi="Times New Roman" w:eastAsia="楷体" w:cs="Times New Roman"/>
          <w:sz w:val="32"/>
          <w:szCs w:val="24"/>
        </w:rPr>
        <w:t>第一节 加强组织领导</w:t>
      </w:r>
      <w:bookmarkEnd w:id="106"/>
      <w:bookmarkEnd w:id="107"/>
    </w:p>
    <w:p>
      <w:pPr>
        <w:ind w:firstLine="560"/>
        <w:rPr>
          <w:rFonts w:hint="default" w:ascii="Times New Roman" w:hAnsi="Times New Roman" w:cs="Times New Roman"/>
          <w:szCs w:val="28"/>
        </w:rPr>
      </w:pPr>
      <w:r>
        <w:rPr>
          <w:rFonts w:hint="default" w:ascii="Times New Roman" w:hAnsi="Times New Roman" w:cs="Times New Roman"/>
          <w:szCs w:val="28"/>
        </w:rPr>
        <w:t>成立由县委、县政府主要领导任组长，各相关部门和乡（镇）主要负责同志为成员的兴安县生态文明建设工作领导小组，负责统筹部署国家生态文明示范区的各项工作，及时协调解决创建过程中的重大问题。建立和完善生态文明建设的目标责任制，把生态文明建设目标任务切实落实到各级党委、政府及乡（镇）各部门，做到层层分解目标与任务，自上而下统一管理，各级政府部门要积极配合，分解各项指标任务，具体分解到责任部门、责任单位和责任人。</w:t>
      </w:r>
    </w:p>
    <w:p>
      <w:pPr>
        <w:pStyle w:val="11"/>
        <w:ind w:firstLine="360"/>
        <w:rPr>
          <w:rFonts w:hint="default" w:ascii="Times New Roman" w:hAnsi="Times New Roman" w:cs="Times New Roman"/>
        </w:rPr>
      </w:pPr>
    </w:p>
    <w:p>
      <w:pPr>
        <w:ind w:firstLine="0" w:firstLineChars="0"/>
        <w:jc w:val="center"/>
        <w:outlineLvl w:val="1"/>
        <w:rPr>
          <w:rFonts w:hint="default" w:ascii="Times New Roman" w:hAnsi="Times New Roman" w:eastAsia="楷体" w:cs="Times New Roman"/>
          <w:sz w:val="32"/>
          <w:szCs w:val="24"/>
        </w:rPr>
      </w:pPr>
      <w:bookmarkStart w:id="108" w:name="_Toc153528962"/>
      <w:bookmarkStart w:id="109" w:name="_Toc151734581"/>
      <w:r>
        <w:rPr>
          <w:rFonts w:hint="default" w:ascii="Times New Roman" w:hAnsi="Times New Roman" w:eastAsia="楷体" w:cs="Times New Roman"/>
          <w:sz w:val="32"/>
          <w:szCs w:val="24"/>
        </w:rPr>
        <w:t>第二节 严格监督考核</w:t>
      </w:r>
      <w:bookmarkEnd w:id="108"/>
      <w:bookmarkEnd w:id="109"/>
    </w:p>
    <w:p>
      <w:pPr>
        <w:ind w:firstLine="560"/>
        <w:rPr>
          <w:rFonts w:hint="default" w:ascii="Times New Roman" w:hAnsi="Times New Roman" w:cs="Times New Roman"/>
          <w:szCs w:val="28"/>
        </w:rPr>
      </w:pPr>
      <w:r>
        <w:rPr>
          <w:rFonts w:hint="default" w:ascii="Times New Roman" w:hAnsi="Times New Roman" w:cs="Times New Roman"/>
          <w:szCs w:val="28"/>
        </w:rPr>
        <w:t>坚持目标导向、突出重点、系统高效，深化绩效理念，建立规划实施情况年度调度和监督考核评估机制，将各有关单位完成创建国家生态文明建设示范区年度目标任务情况纳入每年的兴安县生态环境保护“党政同责、一岗双责”目标责任制考评内容，纳入兴安县绩效考评体系，督促各乡（镇）、各有关单位履行生态文明建设主体责任，以绩效指挥棒作用助推国家生态文明建设示范区创建工作落细落实。加强规划实施过程监管，定期核查监督规划实施情况，评价规划实施情况及效益，提出针对性的调整对策和方案，确保生态文明建设规划按时高效完成。</w:t>
      </w:r>
    </w:p>
    <w:p>
      <w:pPr>
        <w:pStyle w:val="11"/>
        <w:ind w:firstLine="360"/>
        <w:rPr>
          <w:rFonts w:hint="default" w:ascii="Times New Roman" w:hAnsi="Times New Roman" w:cs="Times New Roman"/>
        </w:rPr>
      </w:pPr>
    </w:p>
    <w:p>
      <w:pPr>
        <w:ind w:firstLine="0" w:firstLineChars="0"/>
        <w:jc w:val="center"/>
        <w:outlineLvl w:val="1"/>
        <w:rPr>
          <w:rFonts w:hint="default" w:ascii="Times New Roman" w:hAnsi="Times New Roman" w:eastAsia="楷体" w:cs="Times New Roman"/>
          <w:sz w:val="32"/>
          <w:szCs w:val="24"/>
        </w:rPr>
      </w:pPr>
      <w:bookmarkStart w:id="110" w:name="_Toc151734582"/>
      <w:bookmarkStart w:id="111" w:name="_Toc153528963"/>
      <w:r>
        <w:rPr>
          <w:rFonts w:hint="default" w:ascii="Times New Roman" w:hAnsi="Times New Roman" w:eastAsia="楷体" w:cs="Times New Roman"/>
          <w:sz w:val="32"/>
          <w:szCs w:val="24"/>
        </w:rPr>
        <w:t>第三节 加大资金投入</w:t>
      </w:r>
      <w:bookmarkEnd w:id="110"/>
      <w:bookmarkEnd w:id="111"/>
    </w:p>
    <w:p>
      <w:pPr>
        <w:ind w:firstLine="560"/>
        <w:rPr>
          <w:rFonts w:hint="default" w:ascii="Times New Roman" w:hAnsi="Times New Roman" w:cs="Times New Roman"/>
          <w:szCs w:val="28"/>
        </w:rPr>
      </w:pPr>
      <w:bookmarkStart w:id="112" w:name="_Toc466473355"/>
      <w:bookmarkStart w:id="113" w:name="_Toc534902922"/>
      <w:r>
        <w:rPr>
          <w:rFonts w:hint="default" w:ascii="Times New Roman" w:hAnsi="Times New Roman" w:cs="Times New Roman"/>
          <w:szCs w:val="28"/>
        </w:rPr>
        <w:t>发挥政府在生态环保领域投资的核心作用，建立健全生态文明建设资金保障机制，将生态文明建设资金纳入财政预算，做好相关资金安排。积极探索市场化多元投入，建立项目融资、银行贷款、证券市场等多元化的投资融资机制，推行PPP、BOT、EOD等模式，加快绿色信贷、绿色债券等绿色金融产品和服务的推广，帮助企业拓宽生态文明建设领域融资渠道。建立有效的资金使用和监管制度，严格落实专款专用、先审后拨和项目公开招投标制度。对资金的使用全过程加强监督，严格执行投资问效、追踪管理。提高资金的使用绩效。对资金使用中出现的违规违纪行为实行责任追究。</w:t>
      </w:r>
    </w:p>
    <w:p>
      <w:pPr>
        <w:pStyle w:val="11"/>
        <w:ind w:firstLine="360"/>
        <w:rPr>
          <w:rFonts w:hint="default" w:ascii="Times New Roman" w:hAnsi="Times New Roman" w:cs="Times New Roman"/>
        </w:rPr>
      </w:pPr>
    </w:p>
    <w:bookmarkEnd w:id="112"/>
    <w:bookmarkEnd w:id="113"/>
    <w:p>
      <w:pPr>
        <w:ind w:firstLine="0" w:firstLineChars="0"/>
        <w:jc w:val="center"/>
        <w:outlineLvl w:val="1"/>
        <w:rPr>
          <w:rFonts w:hint="default" w:ascii="Times New Roman" w:hAnsi="Times New Roman" w:eastAsia="楷体" w:cs="Times New Roman"/>
          <w:sz w:val="32"/>
          <w:szCs w:val="24"/>
        </w:rPr>
      </w:pPr>
      <w:bookmarkStart w:id="114" w:name="_Toc151734583"/>
      <w:bookmarkStart w:id="115" w:name="_Toc153528964"/>
      <w:r>
        <w:rPr>
          <w:rFonts w:hint="default" w:ascii="Times New Roman" w:hAnsi="Times New Roman" w:eastAsia="楷体" w:cs="Times New Roman"/>
          <w:sz w:val="32"/>
          <w:szCs w:val="24"/>
        </w:rPr>
        <w:t>第四节 强化科技创新</w:t>
      </w:r>
      <w:bookmarkEnd w:id="114"/>
      <w:bookmarkEnd w:id="115"/>
    </w:p>
    <w:p>
      <w:pPr>
        <w:ind w:firstLine="560"/>
        <w:rPr>
          <w:rFonts w:hint="default" w:ascii="Times New Roman" w:hAnsi="Times New Roman" w:cs="Times New Roman"/>
          <w:szCs w:val="28"/>
        </w:rPr>
      </w:pPr>
      <w:r>
        <w:rPr>
          <w:rFonts w:hint="default" w:ascii="Times New Roman" w:hAnsi="Times New Roman" w:cs="Times New Roman"/>
          <w:szCs w:val="28"/>
        </w:rPr>
        <w:t>积极引进和培养生态文明建设领域的学术、技术带头人、紧缺人才，推动生态文明人才队伍建设。加强生态文明建设科技创新攻关，围绕优先发展的重点产业和重大科技攻关项目，鼓励企业加强与科研院所、高校产学研合作交流，充分利用高效人才资源、成果资源、信息资源，通过技术合作、委托开发等多种方式开展技术攻关，提升企业科技创新实力。加强先进技术的引进及推广，重点在挥发性有机物（VOCs）防治、资源综合利用、灵渠生态修复、清洁生产、生态产业等方面，积极开发、引进和推广应用新技术、新工艺、新产品。</w:t>
      </w:r>
    </w:p>
    <w:p>
      <w:pPr>
        <w:ind w:firstLine="560"/>
        <w:rPr>
          <w:rFonts w:hint="default" w:ascii="Times New Roman" w:hAnsi="Times New Roman" w:cs="Times New Roman"/>
          <w:szCs w:val="28"/>
        </w:rPr>
      </w:pPr>
    </w:p>
    <w:p>
      <w:pPr>
        <w:ind w:firstLine="0" w:firstLineChars="0"/>
        <w:jc w:val="center"/>
        <w:outlineLvl w:val="1"/>
        <w:rPr>
          <w:rFonts w:hint="default" w:ascii="Times New Roman" w:hAnsi="Times New Roman" w:eastAsia="楷体" w:cs="Times New Roman"/>
          <w:sz w:val="32"/>
          <w:szCs w:val="24"/>
        </w:rPr>
      </w:pPr>
      <w:bookmarkStart w:id="116" w:name="_Toc148253518"/>
      <w:bookmarkStart w:id="117" w:name="_Toc153528965"/>
      <w:bookmarkStart w:id="118" w:name="_Toc151734584"/>
      <w:r>
        <w:rPr>
          <w:rFonts w:hint="default" w:ascii="Times New Roman" w:hAnsi="Times New Roman" w:eastAsia="楷体" w:cs="Times New Roman"/>
          <w:sz w:val="32"/>
          <w:szCs w:val="24"/>
        </w:rPr>
        <w:t xml:space="preserve">第五节 </w:t>
      </w:r>
      <w:bookmarkEnd w:id="116"/>
      <w:r>
        <w:rPr>
          <w:rFonts w:hint="default" w:ascii="Times New Roman" w:hAnsi="Times New Roman" w:eastAsia="楷体" w:cs="Times New Roman"/>
          <w:sz w:val="32"/>
          <w:szCs w:val="24"/>
        </w:rPr>
        <w:t>鼓励社会参与</w:t>
      </w:r>
      <w:bookmarkEnd w:id="117"/>
      <w:bookmarkEnd w:id="118"/>
    </w:p>
    <w:p>
      <w:pPr>
        <w:ind w:firstLine="560"/>
        <w:rPr>
          <w:rFonts w:hint="default" w:ascii="Times New Roman" w:hAnsi="Times New Roman" w:cs="Times New Roman"/>
          <w:szCs w:val="28"/>
        </w:rPr>
      </w:pPr>
      <w:r>
        <w:rPr>
          <w:rFonts w:hint="default" w:ascii="Times New Roman" w:hAnsi="Times New Roman" w:cs="Times New Roman"/>
          <w:szCs w:val="28"/>
        </w:rPr>
        <w:t>加大生态文明建设宣传，充分利用互联网、报刊、电视、广播等网络平台优势，积极组织开展多形式、多层次的宣传活动，及时报道生态文明建设示范区创建工作开展情况及成效，使公众了解生态文明建设的顶层设计与国家相关政策，了解规划的发展蓝图，让公众参与项目实施的评判和监督，以此提高公众对兴安县生态文明建设的满意度与参与度。组织丰富多样的生态环境教育和科普宣传教育活动，加强对各级领导干部和企业法人、经营者的相关知识培训，编制生态文明教育宣传材料，打造生态文化教育基地，引导全社会树立良好的生态文明意识。</w:t>
      </w:r>
    </w:p>
    <w:sectPr>
      <w:pgSz w:w="11906" w:h="16838"/>
      <w:pgMar w:top="2098" w:right="1304" w:bottom="1304" w:left="1587" w:header="851" w:footer="1361" w:gutter="0"/>
      <w:cols w:space="0" w:num="1"/>
      <w:rtlGutter w:val="0"/>
      <w:docGrid w:type="lines" w:linePitch="383"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方正仿宋_GBK">
    <w:altName w:val="微软雅黑"/>
    <w:panose1 w:val="03000509000000000000"/>
    <w:charset w:val="86"/>
    <w:family w:val="script"/>
    <w:pitch w:val="default"/>
    <w:sig w:usb0="00000000" w:usb1="0000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2010600030101010101"/>
    <w:charset w:val="86"/>
    <w:family w:val="auto"/>
    <w:pitch w:val="default"/>
    <w:sig w:usb0="00000000" w:usb1="00000000" w:usb2="00000016" w:usb3="00000000" w:csb0="0004000F"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58907630"/>
      <w:docPartObj>
        <w:docPartGallery w:val="autotext"/>
      </w:docPartObj>
    </w:sdtPr>
    <w:sdtContent>
      <w:p>
        <w:pPr>
          <w:pStyle w:val="8"/>
          <w:ind w:firstLine="360"/>
          <w:jc w:val="center"/>
        </w:pPr>
        <w:r>
          <w:fldChar w:fldCharType="begin"/>
        </w:r>
        <w:r>
          <w:instrText xml:space="preserve">PAGE   \* MERGEFORMAT</w:instrText>
        </w:r>
        <w:r>
          <w:fldChar w:fldCharType="separate"/>
        </w:r>
        <w:r>
          <w:rPr>
            <w:lang w:val="zh-CN"/>
          </w:rPr>
          <w:t>iv</w:t>
        </w:r>
        <w:r>
          <w:fldChar w:fldCharType="end"/>
        </w:r>
      </w:p>
    </w:sdtContent>
  </w:sdt>
  <w:p>
    <w:pPr>
      <w:pStyle w:val="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6471447"/>
      <w:docPartObj>
        <w:docPartGallery w:val="autotext"/>
      </w:docPartObj>
    </w:sdtPr>
    <w:sdtContent>
      <w:p>
        <w:pPr>
          <w:pStyle w:val="8"/>
          <w:ind w:firstLine="360"/>
          <w:jc w:val="center"/>
        </w:pPr>
        <w:r>
          <w:fldChar w:fldCharType="begin"/>
        </w:r>
        <w:r>
          <w:instrText xml:space="preserve">PAGE   \* MERGEFORMAT</w:instrText>
        </w:r>
        <w:r>
          <w:fldChar w:fldCharType="separate"/>
        </w:r>
        <w:r>
          <w:rPr>
            <w:lang w:val="zh-CN"/>
          </w:rPr>
          <w:t>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76439A"/>
    <w:multiLevelType w:val="multilevel"/>
    <w:tmpl w:val="5976439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91"/>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FmODhiZmY0NzQzODUzNTc0YTIzZTUyZTAzYjNkMDQifQ=="/>
  </w:docVars>
  <w:rsids>
    <w:rsidRoot w:val="00082585"/>
    <w:rsid w:val="00012836"/>
    <w:rsid w:val="00012EB4"/>
    <w:rsid w:val="0001387C"/>
    <w:rsid w:val="00035940"/>
    <w:rsid w:val="00052AA3"/>
    <w:rsid w:val="00077366"/>
    <w:rsid w:val="00082585"/>
    <w:rsid w:val="000877B1"/>
    <w:rsid w:val="000B7FE5"/>
    <w:rsid w:val="000C0043"/>
    <w:rsid w:val="000C308E"/>
    <w:rsid w:val="000C6A22"/>
    <w:rsid w:val="000C7609"/>
    <w:rsid w:val="000F0A1E"/>
    <w:rsid w:val="0010711A"/>
    <w:rsid w:val="00161CDC"/>
    <w:rsid w:val="00174443"/>
    <w:rsid w:val="001844FD"/>
    <w:rsid w:val="001906CB"/>
    <w:rsid w:val="001A1E81"/>
    <w:rsid w:val="001B54A4"/>
    <w:rsid w:val="001C7736"/>
    <w:rsid w:val="001D3D30"/>
    <w:rsid w:val="001D498A"/>
    <w:rsid w:val="0020323C"/>
    <w:rsid w:val="0022239B"/>
    <w:rsid w:val="00272A5E"/>
    <w:rsid w:val="00292D33"/>
    <w:rsid w:val="002A3FC7"/>
    <w:rsid w:val="002B2938"/>
    <w:rsid w:val="002D0999"/>
    <w:rsid w:val="002D5540"/>
    <w:rsid w:val="002F265C"/>
    <w:rsid w:val="002F752A"/>
    <w:rsid w:val="00301366"/>
    <w:rsid w:val="00310272"/>
    <w:rsid w:val="00312055"/>
    <w:rsid w:val="00314719"/>
    <w:rsid w:val="003218FE"/>
    <w:rsid w:val="00327A6E"/>
    <w:rsid w:val="00344D67"/>
    <w:rsid w:val="003679DD"/>
    <w:rsid w:val="00367AD0"/>
    <w:rsid w:val="003841F7"/>
    <w:rsid w:val="00385F96"/>
    <w:rsid w:val="003B3CCD"/>
    <w:rsid w:val="003B6313"/>
    <w:rsid w:val="003C0E19"/>
    <w:rsid w:val="0041469C"/>
    <w:rsid w:val="00433864"/>
    <w:rsid w:val="00465C29"/>
    <w:rsid w:val="004815C5"/>
    <w:rsid w:val="00495D1C"/>
    <w:rsid w:val="004A08B7"/>
    <w:rsid w:val="004A28F2"/>
    <w:rsid w:val="004A49B0"/>
    <w:rsid w:val="004C7647"/>
    <w:rsid w:val="004D7D5B"/>
    <w:rsid w:val="004E10DE"/>
    <w:rsid w:val="00501648"/>
    <w:rsid w:val="00507630"/>
    <w:rsid w:val="00511532"/>
    <w:rsid w:val="00531D0A"/>
    <w:rsid w:val="0053610C"/>
    <w:rsid w:val="00555B23"/>
    <w:rsid w:val="005755AF"/>
    <w:rsid w:val="005F08EB"/>
    <w:rsid w:val="005F5FC6"/>
    <w:rsid w:val="005F7D95"/>
    <w:rsid w:val="006111B0"/>
    <w:rsid w:val="00623B37"/>
    <w:rsid w:val="006257D3"/>
    <w:rsid w:val="00640E40"/>
    <w:rsid w:val="006479AD"/>
    <w:rsid w:val="00656B54"/>
    <w:rsid w:val="00666525"/>
    <w:rsid w:val="00682D88"/>
    <w:rsid w:val="0069166C"/>
    <w:rsid w:val="006A44D5"/>
    <w:rsid w:val="006B6445"/>
    <w:rsid w:val="006C627A"/>
    <w:rsid w:val="006D736E"/>
    <w:rsid w:val="006E301E"/>
    <w:rsid w:val="006E502B"/>
    <w:rsid w:val="006F0899"/>
    <w:rsid w:val="00704D5F"/>
    <w:rsid w:val="00735479"/>
    <w:rsid w:val="00737FE1"/>
    <w:rsid w:val="007744C8"/>
    <w:rsid w:val="0078755E"/>
    <w:rsid w:val="007940DA"/>
    <w:rsid w:val="007949BD"/>
    <w:rsid w:val="007A51A5"/>
    <w:rsid w:val="007B3789"/>
    <w:rsid w:val="007B5BD9"/>
    <w:rsid w:val="007B62FC"/>
    <w:rsid w:val="007D4FF5"/>
    <w:rsid w:val="007F4DCF"/>
    <w:rsid w:val="0080334C"/>
    <w:rsid w:val="0080725E"/>
    <w:rsid w:val="00807DD1"/>
    <w:rsid w:val="00831B11"/>
    <w:rsid w:val="00834583"/>
    <w:rsid w:val="00857776"/>
    <w:rsid w:val="00867B2E"/>
    <w:rsid w:val="00894E36"/>
    <w:rsid w:val="008B590B"/>
    <w:rsid w:val="008C0BA5"/>
    <w:rsid w:val="008D20BA"/>
    <w:rsid w:val="008D35BE"/>
    <w:rsid w:val="00934F7F"/>
    <w:rsid w:val="00937395"/>
    <w:rsid w:val="0096352D"/>
    <w:rsid w:val="00980D74"/>
    <w:rsid w:val="009941B2"/>
    <w:rsid w:val="00995C19"/>
    <w:rsid w:val="00996D3E"/>
    <w:rsid w:val="009B6B2E"/>
    <w:rsid w:val="009C40CD"/>
    <w:rsid w:val="009E23A1"/>
    <w:rsid w:val="009E5AF1"/>
    <w:rsid w:val="009E682A"/>
    <w:rsid w:val="009F7F79"/>
    <w:rsid w:val="00A0117C"/>
    <w:rsid w:val="00A01DEE"/>
    <w:rsid w:val="00A432EE"/>
    <w:rsid w:val="00A66281"/>
    <w:rsid w:val="00A807F1"/>
    <w:rsid w:val="00A90A25"/>
    <w:rsid w:val="00AC05DD"/>
    <w:rsid w:val="00AC1674"/>
    <w:rsid w:val="00AC2505"/>
    <w:rsid w:val="00AD1949"/>
    <w:rsid w:val="00AE6327"/>
    <w:rsid w:val="00AF0189"/>
    <w:rsid w:val="00B044AC"/>
    <w:rsid w:val="00B31C2C"/>
    <w:rsid w:val="00B3476E"/>
    <w:rsid w:val="00B80A47"/>
    <w:rsid w:val="00BC57CD"/>
    <w:rsid w:val="00BF4CF9"/>
    <w:rsid w:val="00C015C3"/>
    <w:rsid w:val="00C1312A"/>
    <w:rsid w:val="00C14446"/>
    <w:rsid w:val="00C55400"/>
    <w:rsid w:val="00C97967"/>
    <w:rsid w:val="00C9797E"/>
    <w:rsid w:val="00CB1AC5"/>
    <w:rsid w:val="00CD497B"/>
    <w:rsid w:val="00CE1A9D"/>
    <w:rsid w:val="00CF19DB"/>
    <w:rsid w:val="00D03A5E"/>
    <w:rsid w:val="00D05B78"/>
    <w:rsid w:val="00D1350E"/>
    <w:rsid w:val="00D32D3C"/>
    <w:rsid w:val="00D343FA"/>
    <w:rsid w:val="00D4090B"/>
    <w:rsid w:val="00D74CA7"/>
    <w:rsid w:val="00D770D9"/>
    <w:rsid w:val="00D82116"/>
    <w:rsid w:val="00DA72EA"/>
    <w:rsid w:val="00DB58C2"/>
    <w:rsid w:val="00DB5E06"/>
    <w:rsid w:val="00DD02F3"/>
    <w:rsid w:val="00E17ED9"/>
    <w:rsid w:val="00E21BF7"/>
    <w:rsid w:val="00E5220F"/>
    <w:rsid w:val="00E64283"/>
    <w:rsid w:val="00E66330"/>
    <w:rsid w:val="00E66939"/>
    <w:rsid w:val="00E76CCD"/>
    <w:rsid w:val="00E80211"/>
    <w:rsid w:val="00E9055B"/>
    <w:rsid w:val="00E908B5"/>
    <w:rsid w:val="00E97BD6"/>
    <w:rsid w:val="00EB07D8"/>
    <w:rsid w:val="00EB2D3B"/>
    <w:rsid w:val="00EB74B2"/>
    <w:rsid w:val="00ED280F"/>
    <w:rsid w:val="00ED5F6B"/>
    <w:rsid w:val="00ED6269"/>
    <w:rsid w:val="00EF337D"/>
    <w:rsid w:val="00EF7DA0"/>
    <w:rsid w:val="00F172D8"/>
    <w:rsid w:val="00F24A86"/>
    <w:rsid w:val="00F25438"/>
    <w:rsid w:val="00F43738"/>
    <w:rsid w:val="00F51454"/>
    <w:rsid w:val="00F53DCC"/>
    <w:rsid w:val="00F6095D"/>
    <w:rsid w:val="00F62A6F"/>
    <w:rsid w:val="00F71139"/>
    <w:rsid w:val="00F82A0B"/>
    <w:rsid w:val="00F92D04"/>
    <w:rsid w:val="00FA5746"/>
    <w:rsid w:val="00FB5B8A"/>
    <w:rsid w:val="00FC5E6E"/>
    <w:rsid w:val="00FD1FF5"/>
    <w:rsid w:val="00FF07B8"/>
    <w:rsid w:val="01916C5A"/>
    <w:rsid w:val="023C44BA"/>
    <w:rsid w:val="02DB52BD"/>
    <w:rsid w:val="02FB5E8F"/>
    <w:rsid w:val="032C2780"/>
    <w:rsid w:val="038A7E04"/>
    <w:rsid w:val="03C0004B"/>
    <w:rsid w:val="03D02352"/>
    <w:rsid w:val="03D35307"/>
    <w:rsid w:val="0456344C"/>
    <w:rsid w:val="046C750A"/>
    <w:rsid w:val="04D13D94"/>
    <w:rsid w:val="052B2F21"/>
    <w:rsid w:val="0557339A"/>
    <w:rsid w:val="05593448"/>
    <w:rsid w:val="05A4388E"/>
    <w:rsid w:val="05B0635E"/>
    <w:rsid w:val="05B42F17"/>
    <w:rsid w:val="05B915EA"/>
    <w:rsid w:val="06043E9E"/>
    <w:rsid w:val="062113CB"/>
    <w:rsid w:val="069A035E"/>
    <w:rsid w:val="06F929C3"/>
    <w:rsid w:val="076B50BC"/>
    <w:rsid w:val="07A36DCF"/>
    <w:rsid w:val="07B72DEE"/>
    <w:rsid w:val="07EF7893"/>
    <w:rsid w:val="08AA23AF"/>
    <w:rsid w:val="09824989"/>
    <w:rsid w:val="09CF6571"/>
    <w:rsid w:val="09E638BB"/>
    <w:rsid w:val="09FC19E9"/>
    <w:rsid w:val="0A6D3260"/>
    <w:rsid w:val="0AA800D8"/>
    <w:rsid w:val="0B4311CD"/>
    <w:rsid w:val="0BB7550F"/>
    <w:rsid w:val="0BE303E2"/>
    <w:rsid w:val="0C061FF2"/>
    <w:rsid w:val="0C3E2E97"/>
    <w:rsid w:val="0C663CB2"/>
    <w:rsid w:val="0D0A5C88"/>
    <w:rsid w:val="0D2963AD"/>
    <w:rsid w:val="0D3E2B46"/>
    <w:rsid w:val="0D824CA2"/>
    <w:rsid w:val="0DE6394D"/>
    <w:rsid w:val="0E787B3D"/>
    <w:rsid w:val="0F1B5DB5"/>
    <w:rsid w:val="10F13271"/>
    <w:rsid w:val="112A3279"/>
    <w:rsid w:val="11651D62"/>
    <w:rsid w:val="117074AB"/>
    <w:rsid w:val="11C833BC"/>
    <w:rsid w:val="11DD37F5"/>
    <w:rsid w:val="120B6812"/>
    <w:rsid w:val="120E7E53"/>
    <w:rsid w:val="12263756"/>
    <w:rsid w:val="123226F4"/>
    <w:rsid w:val="12460407"/>
    <w:rsid w:val="12AC38F3"/>
    <w:rsid w:val="13340090"/>
    <w:rsid w:val="138662FA"/>
    <w:rsid w:val="142C4677"/>
    <w:rsid w:val="14C8078D"/>
    <w:rsid w:val="14CD72CE"/>
    <w:rsid w:val="14DD4BC8"/>
    <w:rsid w:val="14ED657B"/>
    <w:rsid w:val="14EE3D05"/>
    <w:rsid w:val="151E5A0C"/>
    <w:rsid w:val="152D05F0"/>
    <w:rsid w:val="15786FC5"/>
    <w:rsid w:val="15A85596"/>
    <w:rsid w:val="17710C68"/>
    <w:rsid w:val="17820081"/>
    <w:rsid w:val="178C2662"/>
    <w:rsid w:val="18220CF9"/>
    <w:rsid w:val="185112E1"/>
    <w:rsid w:val="189B3AC2"/>
    <w:rsid w:val="19031D93"/>
    <w:rsid w:val="19254E50"/>
    <w:rsid w:val="192844FD"/>
    <w:rsid w:val="19551B87"/>
    <w:rsid w:val="19C72DC1"/>
    <w:rsid w:val="1A06332F"/>
    <w:rsid w:val="1A113680"/>
    <w:rsid w:val="1A2976B5"/>
    <w:rsid w:val="1A3B1A8D"/>
    <w:rsid w:val="1A6B6059"/>
    <w:rsid w:val="1BD0790E"/>
    <w:rsid w:val="1C0710B3"/>
    <w:rsid w:val="1C3402F3"/>
    <w:rsid w:val="1C674EF2"/>
    <w:rsid w:val="1C6A2129"/>
    <w:rsid w:val="1C80524F"/>
    <w:rsid w:val="1D84721B"/>
    <w:rsid w:val="1D8F0099"/>
    <w:rsid w:val="1DD41A71"/>
    <w:rsid w:val="1DF779ED"/>
    <w:rsid w:val="1EAA1B9B"/>
    <w:rsid w:val="1F06438B"/>
    <w:rsid w:val="1F0E6B82"/>
    <w:rsid w:val="1F1327CC"/>
    <w:rsid w:val="1F3F164B"/>
    <w:rsid w:val="1F4635E3"/>
    <w:rsid w:val="1F8B2AE2"/>
    <w:rsid w:val="20280331"/>
    <w:rsid w:val="20765541"/>
    <w:rsid w:val="208D3D00"/>
    <w:rsid w:val="209F6845"/>
    <w:rsid w:val="20DB53A4"/>
    <w:rsid w:val="21D9467C"/>
    <w:rsid w:val="21D95D87"/>
    <w:rsid w:val="21EF1EC6"/>
    <w:rsid w:val="224635E2"/>
    <w:rsid w:val="2247028D"/>
    <w:rsid w:val="2270641C"/>
    <w:rsid w:val="2312222F"/>
    <w:rsid w:val="23367D31"/>
    <w:rsid w:val="23576EBD"/>
    <w:rsid w:val="236440A9"/>
    <w:rsid w:val="237211E4"/>
    <w:rsid w:val="2392443F"/>
    <w:rsid w:val="23BC644E"/>
    <w:rsid w:val="23CC4495"/>
    <w:rsid w:val="23CE5E4B"/>
    <w:rsid w:val="249019C5"/>
    <w:rsid w:val="24A216A6"/>
    <w:rsid w:val="24AF72BA"/>
    <w:rsid w:val="24E52112"/>
    <w:rsid w:val="250B3654"/>
    <w:rsid w:val="254B7262"/>
    <w:rsid w:val="2556149D"/>
    <w:rsid w:val="25E57105"/>
    <w:rsid w:val="25F01FC7"/>
    <w:rsid w:val="275B00EE"/>
    <w:rsid w:val="276C4FA7"/>
    <w:rsid w:val="2773012C"/>
    <w:rsid w:val="279D7857"/>
    <w:rsid w:val="27C2106B"/>
    <w:rsid w:val="27EB22B9"/>
    <w:rsid w:val="27F82CDF"/>
    <w:rsid w:val="28285372"/>
    <w:rsid w:val="283F663E"/>
    <w:rsid w:val="285223EF"/>
    <w:rsid w:val="285D2307"/>
    <w:rsid w:val="288822B5"/>
    <w:rsid w:val="28961E33"/>
    <w:rsid w:val="28BD5B9E"/>
    <w:rsid w:val="29257B04"/>
    <w:rsid w:val="29387CA6"/>
    <w:rsid w:val="29BB6793"/>
    <w:rsid w:val="2A2658E2"/>
    <w:rsid w:val="2A2B795A"/>
    <w:rsid w:val="2A9D2C76"/>
    <w:rsid w:val="2AB033FD"/>
    <w:rsid w:val="2AF479DB"/>
    <w:rsid w:val="2B991AB0"/>
    <w:rsid w:val="2B9F562F"/>
    <w:rsid w:val="2BA15F34"/>
    <w:rsid w:val="2C7C3EDF"/>
    <w:rsid w:val="2C9C1DF7"/>
    <w:rsid w:val="2D034CE6"/>
    <w:rsid w:val="2D0C5B66"/>
    <w:rsid w:val="2D1E676D"/>
    <w:rsid w:val="2D7F10EB"/>
    <w:rsid w:val="2DC47291"/>
    <w:rsid w:val="2E8C32C3"/>
    <w:rsid w:val="2F2154C4"/>
    <w:rsid w:val="2F2820FC"/>
    <w:rsid w:val="2FB62CE8"/>
    <w:rsid w:val="2FC86D05"/>
    <w:rsid w:val="303B2F29"/>
    <w:rsid w:val="30FE5E9D"/>
    <w:rsid w:val="311741D6"/>
    <w:rsid w:val="3125512E"/>
    <w:rsid w:val="31397652"/>
    <w:rsid w:val="31D5447E"/>
    <w:rsid w:val="326A47D9"/>
    <w:rsid w:val="327F3AA0"/>
    <w:rsid w:val="33570A5B"/>
    <w:rsid w:val="34940F28"/>
    <w:rsid w:val="34D31DAD"/>
    <w:rsid w:val="350F5CB3"/>
    <w:rsid w:val="357F67EE"/>
    <w:rsid w:val="35874795"/>
    <w:rsid w:val="35BA13B5"/>
    <w:rsid w:val="35E8637E"/>
    <w:rsid w:val="35F74D73"/>
    <w:rsid w:val="36714D06"/>
    <w:rsid w:val="369B1405"/>
    <w:rsid w:val="36CC0FE4"/>
    <w:rsid w:val="37142F11"/>
    <w:rsid w:val="37CF154C"/>
    <w:rsid w:val="37FC2378"/>
    <w:rsid w:val="385A322E"/>
    <w:rsid w:val="38F83407"/>
    <w:rsid w:val="3A322081"/>
    <w:rsid w:val="3A5F7C1D"/>
    <w:rsid w:val="3B091033"/>
    <w:rsid w:val="3B787F67"/>
    <w:rsid w:val="3C0266D2"/>
    <w:rsid w:val="3C1E3CC2"/>
    <w:rsid w:val="3CA77D37"/>
    <w:rsid w:val="3CE138EA"/>
    <w:rsid w:val="3D444CF8"/>
    <w:rsid w:val="3D55722B"/>
    <w:rsid w:val="3D6F7A43"/>
    <w:rsid w:val="3D8A5AE1"/>
    <w:rsid w:val="3D954E00"/>
    <w:rsid w:val="3E8B7FB1"/>
    <w:rsid w:val="3EA352FB"/>
    <w:rsid w:val="3EB16BD6"/>
    <w:rsid w:val="3EEB4CC0"/>
    <w:rsid w:val="3FB452E6"/>
    <w:rsid w:val="3FCD04D9"/>
    <w:rsid w:val="3FF461FC"/>
    <w:rsid w:val="4182569C"/>
    <w:rsid w:val="418D6902"/>
    <w:rsid w:val="41AC774B"/>
    <w:rsid w:val="41EA3241"/>
    <w:rsid w:val="42083B1B"/>
    <w:rsid w:val="42733236"/>
    <w:rsid w:val="42984A4B"/>
    <w:rsid w:val="43120013"/>
    <w:rsid w:val="4312489D"/>
    <w:rsid w:val="439C573A"/>
    <w:rsid w:val="44112439"/>
    <w:rsid w:val="4422667B"/>
    <w:rsid w:val="446472DA"/>
    <w:rsid w:val="44890222"/>
    <w:rsid w:val="449930D1"/>
    <w:rsid w:val="45436481"/>
    <w:rsid w:val="45997458"/>
    <w:rsid w:val="45AA0453"/>
    <w:rsid w:val="45B32E6A"/>
    <w:rsid w:val="45F66F6D"/>
    <w:rsid w:val="464B171B"/>
    <w:rsid w:val="465E2BBD"/>
    <w:rsid w:val="466841AC"/>
    <w:rsid w:val="467F5379"/>
    <w:rsid w:val="47DB5B06"/>
    <w:rsid w:val="48036E0A"/>
    <w:rsid w:val="480F63F5"/>
    <w:rsid w:val="489C3FAB"/>
    <w:rsid w:val="48C60564"/>
    <w:rsid w:val="49635647"/>
    <w:rsid w:val="4A7B5341"/>
    <w:rsid w:val="4ABD5996"/>
    <w:rsid w:val="4ACC50C2"/>
    <w:rsid w:val="4B005883"/>
    <w:rsid w:val="4B91290A"/>
    <w:rsid w:val="4C552E2B"/>
    <w:rsid w:val="4C6325BB"/>
    <w:rsid w:val="4D156392"/>
    <w:rsid w:val="4D1A2C2C"/>
    <w:rsid w:val="4D1D3115"/>
    <w:rsid w:val="4D205D07"/>
    <w:rsid w:val="4DC21FF9"/>
    <w:rsid w:val="4E4F6905"/>
    <w:rsid w:val="4EF07A0E"/>
    <w:rsid w:val="4F2646A8"/>
    <w:rsid w:val="4FAC0EB5"/>
    <w:rsid w:val="500139E3"/>
    <w:rsid w:val="501E2015"/>
    <w:rsid w:val="50306C0B"/>
    <w:rsid w:val="512F5B48"/>
    <w:rsid w:val="513E614A"/>
    <w:rsid w:val="514205CA"/>
    <w:rsid w:val="51AC310A"/>
    <w:rsid w:val="51D90756"/>
    <w:rsid w:val="51DE4C7D"/>
    <w:rsid w:val="52350BA2"/>
    <w:rsid w:val="52D01FDF"/>
    <w:rsid w:val="53444F8C"/>
    <w:rsid w:val="53B55004"/>
    <w:rsid w:val="53C05F5A"/>
    <w:rsid w:val="5426635A"/>
    <w:rsid w:val="545943DF"/>
    <w:rsid w:val="545D078C"/>
    <w:rsid w:val="54D475EB"/>
    <w:rsid w:val="54E838DC"/>
    <w:rsid w:val="54EC75A4"/>
    <w:rsid w:val="55094E82"/>
    <w:rsid w:val="552402A2"/>
    <w:rsid w:val="554563A0"/>
    <w:rsid w:val="55650900"/>
    <w:rsid w:val="55A345CB"/>
    <w:rsid w:val="55B8167B"/>
    <w:rsid w:val="55BA6456"/>
    <w:rsid w:val="55CC7D65"/>
    <w:rsid w:val="55FA401D"/>
    <w:rsid w:val="56F72230"/>
    <w:rsid w:val="57957137"/>
    <w:rsid w:val="57AF477F"/>
    <w:rsid w:val="58BD4DB3"/>
    <w:rsid w:val="590627A8"/>
    <w:rsid w:val="59F41A26"/>
    <w:rsid w:val="5ABA094B"/>
    <w:rsid w:val="5B7436EC"/>
    <w:rsid w:val="5BC01D74"/>
    <w:rsid w:val="5C302060"/>
    <w:rsid w:val="5C8E0F41"/>
    <w:rsid w:val="5CA55793"/>
    <w:rsid w:val="5CD549D2"/>
    <w:rsid w:val="5CF50C48"/>
    <w:rsid w:val="5D635829"/>
    <w:rsid w:val="5DAB5814"/>
    <w:rsid w:val="5DD871F6"/>
    <w:rsid w:val="5DEA05B1"/>
    <w:rsid w:val="5DED1C97"/>
    <w:rsid w:val="5E257683"/>
    <w:rsid w:val="5E630974"/>
    <w:rsid w:val="5E7768BA"/>
    <w:rsid w:val="5EEE216B"/>
    <w:rsid w:val="5F246552"/>
    <w:rsid w:val="5F2D736B"/>
    <w:rsid w:val="5F777E2D"/>
    <w:rsid w:val="5FB01347"/>
    <w:rsid w:val="5FC03B07"/>
    <w:rsid w:val="60A149AE"/>
    <w:rsid w:val="60D01E8A"/>
    <w:rsid w:val="60E2684A"/>
    <w:rsid w:val="60E750C3"/>
    <w:rsid w:val="60FE69AF"/>
    <w:rsid w:val="610B56FE"/>
    <w:rsid w:val="612353A5"/>
    <w:rsid w:val="615247AB"/>
    <w:rsid w:val="62281C75"/>
    <w:rsid w:val="622A2467"/>
    <w:rsid w:val="62761B04"/>
    <w:rsid w:val="627A3ABD"/>
    <w:rsid w:val="630C7BFE"/>
    <w:rsid w:val="63534C92"/>
    <w:rsid w:val="64287B33"/>
    <w:rsid w:val="645D6121"/>
    <w:rsid w:val="648D73F9"/>
    <w:rsid w:val="64DC3487"/>
    <w:rsid w:val="6502545F"/>
    <w:rsid w:val="651B064F"/>
    <w:rsid w:val="652F2EC5"/>
    <w:rsid w:val="654622C2"/>
    <w:rsid w:val="656D4F75"/>
    <w:rsid w:val="656F293F"/>
    <w:rsid w:val="6576473A"/>
    <w:rsid w:val="659220FA"/>
    <w:rsid w:val="65992E31"/>
    <w:rsid w:val="65BD6F7E"/>
    <w:rsid w:val="663B68C7"/>
    <w:rsid w:val="666A4ACD"/>
    <w:rsid w:val="66707909"/>
    <w:rsid w:val="66B370FA"/>
    <w:rsid w:val="66C7577B"/>
    <w:rsid w:val="672E7154"/>
    <w:rsid w:val="67AC43E0"/>
    <w:rsid w:val="67F56318"/>
    <w:rsid w:val="68444BA9"/>
    <w:rsid w:val="68867427"/>
    <w:rsid w:val="68DC3DAB"/>
    <w:rsid w:val="68FF3F18"/>
    <w:rsid w:val="6953584E"/>
    <w:rsid w:val="6A3C4526"/>
    <w:rsid w:val="6AA933EA"/>
    <w:rsid w:val="6AB77DF1"/>
    <w:rsid w:val="6AC07030"/>
    <w:rsid w:val="6AF208ED"/>
    <w:rsid w:val="6B2968F7"/>
    <w:rsid w:val="6B2C10AE"/>
    <w:rsid w:val="6B4F21E3"/>
    <w:rsid w:val="6BE24E05"/>
    <w:rsid w:val="6C0341C4"/>
    <w:rsid w:val="6CF41F69"/>
    <w:rsid w:val="6D142D9E"/>
    <w:rsid w:val="6D512242"/>
    <w:rsid w:val="6D541693"/>
    <w:rsid w:val="6D5910F7"/>
    <w:rsid w:val="6D657A9C"/>
    <w:rsid w:val="6DA71E62"/>
    <w:rsid w:val="6DAD7911"/>
    <w:rsid w:val="6DF901E4"/>
    <w:rsid w:val="6E0E69F0"/>
    <w:rsid w:val="6E204EA4"/>
    <w:rsid w:val="6E3D4575"/>
    <w:rsid w:val="6F4F27B2"/>
    <w:rsid w:val="6F5C38F3"/>
    <w:rsid w:val="6FEF5A34"/>
    <w:rsid w:val="705F4E88"/>
    <w:rsid w:val="70784693"/>
    <w:rsid w:val="70AE175A"/>
    <w:rsid w:val="70C15D8C"/>
    <w:rsid w:val="70C35A0C"/>
    <w:rsid w:val="7115529E"/>
    <w:rsid w:val="71286A35"/>
    <w:rsid w:val="71297F51"/>
    <w:rsid w:val="71793B16"/>
    <w:rsid w:val="71C905C1"/>
    <w:rsid w:val="71C91ED9"/>
    <w:rsid w:val="72E11EB6"/>
    <w:rsid w:val="73DB24EC"/>
    <w:rsid w:val="7420471D"/>
    <w:rsid w:val="74DD5ED9"/>
    <w:rsid w:val="74F65471"/>
    <w:rsid w:val="75134D0B"/>
    <w:rsid w:val="75962946"/>
    <w:rsid w:val="75C33502"/>
    <w:rsid w:val="766F4DE7"/>
    <w:rsid w:val="76A92C51"/>
    <w:rsid w:val="76E0671F"/>
    <w:rsid w:val="77345E51"/>
    <w:rsid w:val="77860D3A"/>
    <w:rsid w:val="786F17CF"/>
    <w:rsid w:val="78D334AC"/>
    <w:rsid w:val="792A10D2"/>
    <w:rsid w:val="797E7B3A"/>
    <w:rsid w:val="79F32364"/>
    <w:rsid w:val="7A04063C"/>
    <w:rsid w:val="7A521642"/>
    <w:rsid w:val="7A71079D"/>
    <w:rsid w:val="7AE02412"/>
    <w:rsid w:val="7B407D30"/>
    <w:rsid w:val="7B7517F2"/>
    <w:rsid w:val="7BBA6EFE"/>
    <w:rsid w:val="7C442866"/>
    <w:rsid w:val="7C5F33F9"/>
    <w:rsid w:val="7C8479D2"/>
    <w:rsid w:val="7C913F6E"/>
    <w:rsid w:val="7CB805AB"/>
    <w:rsid w:val="7CBB3234"/>
    <w:rsid w:val="7D5B4A17"/>
    <w:rsid w:val="7D6903CE"/>
    <w:rsid w:val="7D6D2655"/>
    <w:rsid w:val="7DC26844"/>
    <w:rsid w:val="7DFD5ACF"/>
    <w:rsid w:val="7E1B2A39"/>
    <w:rsid w:val="7E5C62F6"/>
    <w:rsid w:val="7EAA7D25"/>
    <w:rsid w:val="7F01339C"/>
    <w:rsid w:val="7F4B4C93"/>
    <w:rsid w:val="7F6E0E3D"/>
    <w:rsid w:val="7F700138"/>
    <w:rsid w:val="7FB37E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仿宋_GB2312" w:cstheme="minorBidi"/>
      <w:kern w:val="2"/>
      <w:sz w:val="28"/>
      <w:szCs w:val="22"/>
      <w:lang w:val="en-US" w:eastAsia="zh-CN" w:bidi="ar-SA"/>
    </w:rPr>
  </w:style>
  <w:style w:type="paragraph" w:styleId="3">
    <w:name w:val="heading 1"/>
    <w:basedOn w:val="1"/>
    <w:next w:val="1"/>
    <w:link w:val="32"/>
    <w:qFormat/>
    <w:uiPriority w:val="9"/>
    <w:pPr>
      <w:keepNext/>
      <w:keepLines/>
      <w:spacing w:before="340" w:after="330" w:line="578" w:lineRule="auto"/>
      <w:outlineLvl w:val="0"/>
    </w:pPr>
    <w:rPr>
      <w:b/>
      <w:bCs/>
      <w:kern w:val="44"/>
      <w:sz w:val="44"/>
      <w:szCs w:val="44"/>
    </w:rPr>
  </w:style>
  <w:style w:type="paragraph" w:styleId="4">
    <w:name w:val="heading 4"/>
    <w:basedOn w:val="1"/>
    <w:next w:val="1"/>
    <w:qFormat/>
    <w:uiPriority w:val="0"/>
    <w:pPr>
      <w:keepNext/>
      <w:keepLines/>
      <w:outlineLvl w:val="3"/>
    </w:pPr>
    <w:rPr>
      <w:rFonts w:ascii="Cambria" w:hAnsi="Cambria" w:eastAsia="宋体"/>
      <w:b/>
      <w:bCs/>
      <w:kern w:val="0"/>
      <w:szCs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link w:val="28"/>
    <w:unhideWhenUsed/>
    <w:qFormat/>
    <w:uiPriority w:val="99"/>
    <w:pPr>
      <w:spacing w:after="120" w:line="480" w:lineRule="auto"/>
      <w:ind w:left="420" w:leftChars="200"/>
    </w:pPr>
    <w:rPr>
      <w:rFonts w:eastAsia="方正仿宋_GBK" w:cs="Times New Roman"/>
      <w:sz w:val="32"/>
    </w:rPr>
  </w:style>
  <w:style w:type="paragraph" w:styleId="5">
    <w:name w:val="annotation text"/>
    <w:basedOn w:val="1"/>
    <w:link w:val="37"/>
    <w:semiHidden/>
    <w:unhideWhenUsed/>
    <w:qFormat/>
    <w:uiPriority w:val="99"/>
    <w:pPr>
      <w:jc w:val="left"/>
    </w:pPr>
  </w:style>
  <w:style w:type="paragraph" w:styleId="6">
    <w:name w:val="toc 3"/>
    <w:basedOn w:val="1"/>
    <w:next w:val="1"/>
    <w:unhideWhenUsed/>
    <w:qFormat/>
    <w:uiPriority w:val="39"/>
    <w:pPr>
      <w:ind w:left="840" w:leftChars="400"/>
    </w:pPr>
  </w:style>
  <w:style w:type="paragraph" w:styleId="7">
    <w:name w:val="Balloon Text"/>
    <w:basedOn w:val="1"/>
    <w:link w:val="31"/>
    <w:semiHidden/>
    <w:unhideWhenUsed/>
    <w:qFormat/>
    <w:uiPriority w:val="99"/>
    <w:pPr>
      <w:spacing w:line="240" w:lineRule="auto"/>
    </w:pPr>
    <w:rPr>
      <w:sz w:val="18"/>
      <w:szCs w:val="18"/>
    </w:rPr>
  </w:style>
  <w:style w:type="paragraph" w:styleId="8">
    <w:name w:val="footer"/>
    <w:basedOn w:val="1"/>
    <w:link w:val="30"/>
    <w:unhideWhenUsed/>
    <w:qFormat/>
    <w:uiPriority w:val="99"/>
    <w:pPr>
      <w:tabs>
        <w:tab w:val="center" w:pos="4153"/>
        <w:tab w:val="right" w:pos="8306"/>
      </w:tabs>
      <w:snapToGrid w:val="0"/>
      <w:spacing w:line="240" w:lineRule="auto"/>
      <w:jc w:val="left"/>
    </w:pPr>
    <w:rPr>
      <w:sz w:val="18"/>
      <w:szCs w:val="18"/>
    </w:rPr>
  </w:style>
  <w:style w:type="paragraph" w:styleId="9">
    <w:name w:val="header"/>
    <w:basedOn w:val="1"/>
    <w:link w:val="29"/>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0">
    <w:name w:val="toc 1"/>
    <w:basedOn w:val="1"/>
    <w:next w:val="1"/>
    <w:unhideWhenUsed/>
    <w:qFormat/>
    <w:uiPriority w:val="39"/>
    <w:pPr>
      <w:tabs>
        <w:tab w:val="right" w:leader="dot" w:pos="8296"/>
      </w:tabs>
      <w:ind w:firstLine="560"/>
      <w:jc w:val="center"/>
    </w:pPr>
    <w:rPr>
      <w:b/>
      <w:bCs/>
    </w:rPr>
  </w:style>
  <w:style w:type="paragraph" w:styleId="11">
    <w:name w:val="footnote text"/>
    <w:basedOn w:val="1"/>
    <w:link w:val="21"/>
    <w:unhideWhenUsed/>
    <w:qFormat/>
    <w:uiPriority w:val="99"/>
    <w:pPr>
      <w:adjustRightInd w:val="0"/>
      <w:snapToGrid w:val="0"/>
      <w:ind w:firstLine="480"/>
      <w:jc w:val="left"/>
    </w:pPr>
    <w:rPr>
      <w:sz w:val="18"/>
      <w:szCs w:val="18"/>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99"/>
    <w:rPr>
      <w:sz w:val="24"/>
    </w:rPr>
  </w:style>
  <w:style w:type="paragraph" w:styleId="14">
    <w:name w:val="annotation subject"/>
    <w:basedOn w:val="5"/>
    <w:next w:val="5"/>
    <w:link w:val="38"/>
    <w:semiHidden/>
    <w:unhideWhenUsed/>
    <w:qFormat/>
    <w:uiPriority w:val="99"/>
    <w:rPr>
      <w:b/>
      <w:bCs/>
    </w:rPr>
  </w:style>
  <w:style w:type="character" w:styleId="17">
    <w:name w:val="Emphasis"/>
    <w:basedOn w:val="16"/>
    <w:qFormat/>
    <w:uiPriority w:val="20"/>
    <w:rPr>
      <w:i/>
    </w:rPr>
  </w:style>
  <w:style w:type="character" w:styleId="18">
    <w:name w:val="Hyperlink"/>
    <w:basedOn w:val="16"/>
    <w:unhideWhenUsed/>
    <w:qFormat/>
    <w:uiPriority w:val="99"/>
    <w:rPr>
      <w:color w:val="0000CC"/>
      <w:u w:val="single"/>
    </w:rPr>
  </w:style>
  <w:style w:type="character" w:styleId="19">
    <w:name w:val="annotation reference"/>
    <w:basedOn w:val="16"/>
    <w:semiHidden/>
    <w:unhideWhenUsed/>
    <w:qFormat/>
    <w:uiPriority w:val="99"/>
    <w:rPr>
      <w:sz w:val="21"/>
      <w:szCs w:val="21"/>
    </w:rPr>
  </w:style>
  <w:style w:type="paragraph" w:customStyle="1" w:styleId="2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1">
    <w:name w:val="脚注文本 字符"/>
    <w:basedOn w:val="16"/>
    <w:link w:val="11"/>
    <w:qFormat/>
    <w:uiPriority w:val="99"/>
    <w:rPr>
      <w:rFonts w:ascii="Times New Roman" w:hAnsi="Times New Roman" w:eastAsia="仿宋_GB2312"/>
      <w:sz w:val="18"/>
      <w:szCs w:val="18"/>
    </w:rPr>
  </w:style>
  <w:style w:type="paragraph" w:styleId="22">
    <w:name w:val="List Paragraph"/>
    <w:basedOn w:val="1"/>
    <w:link w:val="34"/>
    <w:unhideWhenUsed/>
    <w:qFormat/>
    <w:uiPriority w:val="34"/>
    <w:pPr>
      <w:ind w:firstLine="420"/>
    </w:pPr>
  </w:style>
  <w:style w:type="character" w:customStyle="1" w:styleId="23">
    <w:name w:val="正文文本缩进 2 Char"/>
    <w:qFormat/>
    <w:uiPriority w:val="0"/>
    <w:rPr>
      <w:rFonts w:eastAsia="方正仿宋_GBK" w:cs="Times New Roman"/>
      <w:sz w:val="32"/>
    </w:rPr>
  </w:style>
  <w:style w:type="character" w:customStyle="1" w:styleId="24">
    <w:name w:val="fontstyle01"/>
    <w:basedOn w:val="16"/>
    <w:qFormat/>
    <w:uiPriority w:val="0"/>
    <w:rPr>
      <w:rFonts w:ascii="仿宋_GB2312" w:eastAsia="仿宋_GB2312" w:cs="仿宋_GB2312"/>
      <w:color w:val="000000"/>
      <w:sz w:val="28"/>
      <w:szCs w:val="28"/>
    </w:rPr>
  </w:style>
  <w:style w:type="character" w:customStyle="1" w:styleId="25">
    <w:name w:val="fontstyle21"/>
    <w:basedOn w:val="16"/>
    <w:qFormat/>
    <w:uiPriority w:val="0"/>
    <w:rPr>
      <w:rFonts w:ascii="Calibri" w:hAnsi="Calibri" w:cs="Calibri"/>
      <w:color w:val="000000"/>
      <w:sz w:val="28"/>
      <w:szCs w:val="28"/>
    </w:rPr>
  </w:style>
  <w:style w:type="paragraph" w:customStyle="1" w:styleId="26">
    <w:name w:val="马关文本正文"/>
    <w:basedOn w:val="1"/>
    <w:qFormat/>
    <w:uiPriority w:val="0"/>
    <w:rPr>
      <w:rFonts w:ascii="方正仿宋_GBK" w:eastAsia="方正仿宋_GBK"/>
      <w:sz w:val="24"/>
    </w:rPr>
  </w:style>
  <w:style w:type="character" w:customStyle="1" w:styleId="27">
    <w:name w:val="ref"/>
    <w:basedOn w:val="16"/>
    <w:qFormat/>
    <w:uiPriority w:val="0"/>
  </w:style>
  <w:style w:type="character" w:customStyle="1" w:styleId="28">
    <w:name w:val="正文文本缩进 2 字符"/>
    <w:basedOn w:val="16"/>
    <w:link w:val="2"/>
    <w:qFormat/>
    <w:uiPriority w:val="0"/>
    <w:rPr>
      <w:rFonts w:hint="eastAsia" w:ascii="仿宋_GB2312" w:eastAsia="仿宋_GB2312" w:cs="Times New Roman"/>
      <w:kern w:val="2"/>
      <w:sz w:val="28"/>
      <w:szCs w:val="22"/>
    </w:rPr>
  </w:style>
  <w:style w:type="character" w:customStyle="1" w:styleId="29">
    <w:name w:val="页眉 字符"/>
    <w:basedOn w:val="16"/>
    <w:link w:val="9"/>
    <w:qFormat/>
    <w:uiPriority w:val="99"/>
    <w:rPr>
      <w:rFonts w:eastAsia="仿宋_GB2312" w:cstheme="minorBidi"/>
      <w:kern w:val="2"/>
      <w:sz w:val="18"/>
      <w:szCs w:val="18"/>
    </w:rPr>
  </w:style>
  <w:style w:type="character" w:customStyle="1" w:styleId="30">
    <w:name w:val="页脚 字符"/>
    <w:basedOn w:val="16"/>
    <w:link w:val="8"/>
    <w:qFormat/>
    <w:uiPriority w:val="99"/>
    <w:rPr>
      <w:rFonts w:eastAsia="仿宋_GB2312" w:cstheme="minorBidi"/>
      <w:kern w:val="2"/>
      <w:sz w:val="18"/>
      <w:szCs w:val="18"/>
    </w:rPr>
  </w:style>
  <w:style w:type="character" w:customStyle="1" w:styleId="31">
    <w:name w:val="批注框文本 字符"/>
    <w:basedOn w:val="16"/>
    <w:link w:val="7"/>
    <w:semiHidden/>
    <w:qFormat/>
    <w:uiPriority w:val="99"/>
    <w:rPr>
      <w:rFonts w:eastAsia="仿宋_GB2312" w:cstheme="minorBidi"/>
      <w:kern w:val="2"/>
      <w:sz w:val="18"/>
      <w:szCs w:val="18"/>
    </w:rPr>
  </w:style>
  <w:style w:type="character" w:customStyle="1" w:styleId="32">
    <w:name w:val="标题 1 字符"/>
    <w:basedOn w:val="16"/>
    <w:link w:val="3"/>
    <w:qFormat/>
    <w:uiPriority w:val="9"/>
    <w:rPr>
      <w:rFonts w:eastAsia="仿宋_GB2312" w:cstheme="minorBidi"/>
      <w:b/>
      <w:bCs/>
      <w:kern w:val="44"/>
      <w:sz w:val="44"/>
      <w:szCs w:val="44"/>
    </w:rPr>
  </w:style>
  <w:style w:type="paragraph" w:customStyle="1" w:styleId="33">
    <w:name w:val="TOC 标题1"/>
    <w:basedOn w:val="3"/>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34">
    <w:name w:val="列表段落 字符"/>
    <w:link w:val="22"/>
    <w:qFormat/>
    <w:uiPriority w:val="34"/>
    <w:rPr>
      <w:rFonts w:eastAsia="仿宋_GB2312" w:cstheme="minorBidi"/>
      <w:kern w:val="2"/>
      <w:sz w:val="28"/>
      <w:szCs w:val="22"/>
    </w:rPr>
  </w:style>
  <w:style w:type="paragraph" w:customStyle="1" w:styleId="35">
    <w:name w:val="Revision"/>
    <w:hidden/>
    <w:semiHidden/>
    <w:qFormat/>
    <w:uiPriority w:val="99"/>
    <w:rPr>
      <w:rFonts w:ascii="Times New Roman" w:hAnsi="Times New Roman" w:eastAsia="仿宋_GB2312" w:cstheme="minorBidi"/>
      <w:kern w:val="2"/>
      <w:sz w:val="28"/>
      <w:szCs w:val="22"/>
      <w:lang w:val="en-US" w:eastAsia="zh-CN" w:bidi="ar-SA"/>
    </w:rPr>
  </w:style>
  <w:style w:type="paragraph" w:customStyle="1" w:styleId="36">
    <w:name w:val="Table Paragraph"/>
    <w:basedOn w:val="1"/>
    <w:qFormat/>
    <w:uiPriority w:val="1"/>
    <w:pPr>
      <w:spacing w:line="240" w:lineRule="auto"/>
      <w:ind w:firstLine="0" w:firstLineChars="0"/>
      <w:jc w:val="left"/>
    </w:pPr>
    <w:rPr>
      <w:rFonts w:asciiTheme="minorHAnsi" w:hAnsiTheme="minorHAnsi" w:eastAsiaTheme="minorEastAsia"/>
      <w:kern w:val="0"/>
      <w:sz w:val="22"/>
      <w:lang w:eastAsia="en-US"/>
    </w:rPr>
  </w:style>
  <w:style w:type="character" w:customStyle="1" w:styleId="37">
    <w:name w:val="批注文字 字符"/>
    <w:basedOn w:val="16"/>
    <w:link w:val="5"/>
    <w:semiHidden/>
    <w:qFormat/>
    <w:uiPriority w:val="99"/>
    <w:rPr>
      <w:rFonts w:eastAsia="仿宋_GB2312" w:cstheme="minorBidi"/>
      <w:kern w:val="2"/>
      <w:sz w:val="28"/>
      <w:szCs w:val="22"/>
    </w:rPr>
  </w:style>
  <w:style w:type="character" w:customStyle="1" w:styleId="38">
    <w:name w:val="批注主题 字符"/>
    <w:basedOn w:val="37"/>
    <w:link w:val="14"/>
    <w:semiHidden/>
    <w:qFormat/>
    <w:uiPriority w:val="99"/>
    <w:rPr>
      <w:rFonts w:eastAsia="仿宋_GB2312" w:cstheme="minorBidi"/>
      <w:b/>
      <w:bCs/>
      <w:kern w:val="2"/>
      <w:sz w:val="28"/>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50828-1F5F-4F23-B184-E3EA9DF37686}">
  <ds:schemaRefs/>
</ds:datastoreItem>
</file>

<file path=docProps/app.xml><?xml version="1.0" encoding="utf-8"?>
<Properties xmlns="http://schemas.openxmlformats.org/officeDocument/2006/extended-properties" xmlns:vt="http://schemas.openxmlformats.org/officeDocument/2006/docPropsVTypes">
  <Template>Normal</Template>
  <Pages>76</Pages>
  <Words>6943</Words>
  <Characters>39578</Characters>
  <Lines>329</Lines>
  <Paragraphs>92</Paragraphs>
  <TotalTime>0</TotalTime>
  <ScaleCrop>false</ScaleCrop>
  <LinksUpToDate>false</LinksUpToDate>
  <CharactersWithSpaces>46429</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2024-01-11T10:44:00Z</dcterms:created>
  <dc:creator>peng zhao</dc:creator>
  <cp:lastModifiedBy>周洁</cp:lastModifiedBy>
  <cp:lastPrinted>2024-01-26T02:45:00Z</cp:lastPrinted>
  <dcterms:modified xsi:type="dcterms:W3CDTF">2024-07-25T03:44:08Z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D74611F932584375ACE335EE836A496E_13</vt:lpwstr>
  </property>
</Properties>
</file>