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30" w:lineRule="atLeast"/>
        <w:rPr>
          <w:rFonts w:hint="default" w:ascii="Times New Roman" w:hAnsi="Times New Roman" w:eastAsia="仿宋_GB2312" w:cs="Times New Roman"/>
          <w:kern w:val="0"/>
          <w:sz w:val="32"/>
          <w:szCs w:val="32"/>
        </w:rPr>
      </w:pPr>
    </w:p>
    <w:p>
      <w:pPr>
        <w:widowControl/>
        <w:spacing w:line="630" w:lineRule="atLeast"/>
        <w:rPr>
          <w:rFonts w:hint="default" w:ascii="Times New Roman" w:hAnsi="Times New Roman" w:eastAsia="仿宋_GB2312" w:cs="Times New Roman"/>
          <w:kern w:val="0"/>
          <w:sz w:val="32"/>
          <w:szCs w:val="32"/>
        </w:rPr>
      </w:pPr>
    </w:p>
    <w:p>
      <w:pPr>
        <w:widowControl/>
        <w:spacing w:line="630" w:lineRule="atLeast"/>
        <w:rPr>
          <w:rFonts w:hint="default" w:ascii="Times New Roman" w:hAnsi="Times New Roman" w:eastAsia="仿宋_GB2312" w:cs="Times New Roman"/>
          <w:kern w:val="0"/>
          <w:sz w:val="32"/>
          <w:szCs w:val="32"/>
        </w:rPr>
      </w:pPr>
    </w:p>
    <w:p>
      <w:pPr>
        <w:widowControl/>
        <w:spacing w:line="630" w:lineRule="atLeast"/>
        <w:rPr>
          <w:rFonts w:hint="default" w:ascii="Times New Roman" w:hAnsi="Times New Roman" w:eastAsia="仿宋_GB2312" w:cs="Times New Roman"/>
          <w:kern w:val="0"/>
          <w:sz w:val="32"/>
          <w:szCs w:val="32"/>
        </w:rPr>
      </w:pP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kern w:val="0"/>
          <w:sz w:val="32"/>
          <w:szCs w:val="32"/>
        </w:rPr>
      </w:pPr>
    </w:p>
    <w:p>
      <w:pPr>
        <w:widowControl/>
        <w:spacing w:line="630" w:lineRule="atLeast"/>
        <w:rPr>
          <w:rFonts w:hint="default" w:ascii="Times New Roman" w:hAnsi="Times New Roman" w:eastAsia="仿宋_GB2312" w:cs="Times New Roman"/>
          <w:kern w:val="0"/>
          <w:sz w:val="32"/>
          <w:szCs w:val="32"/>
        </w:rPr>
      </w:pPr>
    </w:p>
    <w:p>
      <w:pPr>
        <w:keepNext w:val="0"/>
        <w:keepLines w:val="0"/>
        <w:pageBreakBefore w:val="0"/>
        <w:widowControl/>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default" w:ascii="Times New Roman" w:hAnsi="Times New Roman" w:eastAsia="仿宋_GB2312" w:cs="Times New Roman"/>
          <w:kern w:val="0"/>
          <w:sz w:val="32"/>
          <w:szCs w:val="32"/>
        </w:rPr>
      </w:pP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仿宋_GB2312" w:cs="Times New Roman"/>
          <w:kern w:val="0"/>
          <w:sz w:val="32"/>
          <w:szCs w:val="32"/>
        </w:rPr>
      </w:pPr>
    </w:p>
    <w:p>
      <w:pPr>
        <w:spacing w:line="586" w:lineRule="exact"/>
        <w:ind w:left="0" w:leftChars="0" w:firstLine="0" w:firstLineChars="0"/>
        <w:jc w:val="center"/>
        <w:rPr>
          <w:rFonts w:hint="eastAsia" w:ascii="Times New Roman" w:hAnsi="Times New Roman" w:eastAsia="楷体_GB2312" w:cs="Times New Roman"/>
          <w:kern w:val="0"/>
          <w:sz w:val="32"/>
          <w:szCs w:val="32"/>
          <w:lang w:val="en-US" w:eastAsia="zh-CN"/>
        </w:rPr>
      </w:pPr>
      <w:r>
        <w:rPr>
          <w:rFonts w:hint="default" w:ascii="Times New Roman" w:hAnsi="Times New Roman" w:eastAsia="仿宋_GB2312" w:cs="Times New Roman"/>
          <w:kern w:val="0"/>
          <w:sz w:val="32"/>
          <w:szCs w:val="32"/>
        </w:rPr>
        <w:t>兴政</w:t>
      </w:r>
      <w:r>
        <w:rPr>
          <w:rFonts w:hint="eastAsia" w:ascii="Times New Roman" w:hAnsi="Times New Roman" w:eastAsia="仿宋_GB2312" w:cs="Times New Roman"/>
          <w:kern w:val="0"/>
          <w:sz w:val="32"/>
          <w:szCs w:val="32"/>
          <w:lang w:eastAsia="zh-CN"/>
        </w:rPr>
        <w:t>发</w:t>
      </w:r>
      <w:r>
        <w:rPr>
          <w:rFonts w:hint="default" w:ascii="Times New Roman" w:hAnsi="Times New Roman" w:eastAsia="仿宋_GB2312" w:cs="Times New Roman"/>
          <w:kern w:val="0"/>
          <w:sz w:val="32"/>
          <w:szCs w:val="32"/>
        </w:rPr>
        <w:t>〔20</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rPr>
        <w:t>号</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Times New Roman" w:hAnsi="Times New Roman" w:eastAsia="楷体_GB2312" w:cs="Times New Roman"/>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兴安县人民政府</w:t>
      </w:r>
    </w:p>
    <w:p>
      <w:pPr>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关于印发《桂林市兴安县</w:t>
      </w:r>
      <w:r>
        <w:rPr>
          <w:rFonts w:hint="eastAsia" w:ascii="方正小标宋_GBK" w:hAnsi="方正小标宋_GBK" w:eastAsia="方正小标宋_GBK" w:cs="方正小标宋_GBK"/>
          <w:b w:val="0"/>
          <w:bCs w:val="0"/>
          <w:sz w:val="44"/>
          <w:szCs w:val="44"/>
        </w:rPr>
        <w:t>秸秆</w:t>
      </w:r>
      <w:r>
        <w:rPr>
          <w:rFonts w:hint="eastAsia" w:ascii="方正小标宋_GBK" w:hAnsi="方正小标宋_GBK" w:eastAsia="方正小标宋_GBK" w:cs="方正小标宋_GBK"/>
          <w:b w:val="0"/>
          <w:bCs w:val="0"/>
          <w:sz w:val="44"/>
          <w:szCs w:val="44"/>
          <w:lang w:eastAsia="zh-CN"/>
        </w:rPr>
        <w:t>露天</w:t>
      </w:r>
    </w:p>
    <w:p>
      <w:pPr>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rPr>
        <w:t>禁</w:t>
      </w:r>
      <w:r>
        <w:rPr>
          <w:rFonts w:hint="eastAsia" w:ascii="方正小标宋_GBK" w:hAnsi="方正小标宋_GBK" w:eastAsia="方正小标宋_GBK" w:cs="方正小标宋_GBK"/>
          <w:b w:val="0"/>
          <w:bCs w:val="0"/>
          <w:sz w:val="44"/>
          <w:szCs w:val="44"/>
          <w:lang w:eastAsia="zh-CN"/>
        </w:rPr>
        <w:t>限</w:t>
      </w:r>
      <w:r>
        <w:rPr>
          <w:rFonts w:hint="eastAsia" w:ascii="方正小标宋_GBK" w:hAnsi="方正小标宋_GBK" w:eastAsia="方正小标宋_GBK" w:cs="方正小标宋_GBK"/>
          <w:b w:val="0"/>
          <w:bCs w:val="0"/>
          <w:sz w:val="44"/>
          <w:szCs w:val="44"/>
        </w:rPr>
        <w:t>烧</w:t>
      </w:r>
      <w:r>
        <w:rPr>
          <w:rFonts w:hint="eastAsia" w:ascii="方正小标宋_GBK" w:hAnsi="方正小标宋_GBK" w:eastAsia="方正小标宋_GBK" w:cs="方正小标宋_GBK"/>
          <w:b w:val="0"/>
          <w:bCs w:val="0"/>
          <w:sz w:val="44"/>
          <w:szCs w:val="44"/>
          <w:lang w:eastAsia="zh-CN"/>
        </w:rPr>
        <w:t>区域划定</w:t>
      </w:r>
      <w:r>
        <w:rPr>
          <w:rFonts w:hint="eastAsia" w:ascii="方正小标宋_GBK" w:hAnsi="方正小标宋_GBK" w:eastAsia="方正小标宋_GBK" w:cs="方正小标宋_GBK"/>
          <w:b w:val="0"/>
          <w:bCs w:val="0"/>
          <w:sz w:val="44"/>
          <w:szCs w:val="44"/>
        </w:rPr>
        <w:t>管控</w:t>
      </w:r>
      <w:r>
        <w:rPr>
          <w:rFonts w:hint="eastAsia" w:ascii="方正小标宋_GBK" w:hAnsi="方正小标宋_GBK" w:eastAsia="方正小标宋_GBK" w:cs="方正小标宋_GBK"/>
          <w:b w:val="0"/>
          <w:bCs w:val="0"/>
          <w:sz w:val="44"/>
          <w:szCs w:val="44"/>
          <w:lang w:eastAsia="zh-CN"/>
        </w:rPr>
        <w:t>及</w:t>
      </w:r>
      <w:r>
        <w:rPr>
          <w:rFonts w:hint="eastAsia" w:ascii="方正小标宋_GBK" w:hAnsi="方正小标宋_GBK" w:eastAsia="方正小标宋_GBK" w:cs="方正小标宋_GBK"/>
          <w:b w:val="0"/>
          <w:bCs w:val="0"/>
          <w:sz w:val="44"/>
          <w:szCs w:val="44"/>
        </w:rPr>
        <w:t>综合利用方案</w:t>
      </w:r>
      <w:r>
        <w:rPr>
          <w:rFonts w:hint="eastAsia" w:ascii="方正小标宋_GBK" w:hAnsi="方正小标宋_GBK" w:eastAsia="方正小标宋_GBK" w:cs="方正小标宋_GBK"/>
          <w:b w:val="0"/>
          <w:bCs w:val="0"/>
          <w:sz w:val="44"/>
          <w:szCs w:val="44"/>
          <w:lang w:eastAsia="zh-CN"/>
        </w:rPr>
        <w:t>》的通知</w:t>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方正小标宋_GBK" w:hAnsi="方正小标宋_GBK" w:eastAsia="方正小标宋_GBK" w:cs="方正小标宋_GBK"/>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86" w:lineRule="exact"/>
        <w:jc w:val="left"/>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各乡（镇）人民政府，县直各单位</w:t>
      </w:r>
      <w:r>
        <w:rPr>
          <w:rFonts w:hint="eastAsia" w:ascii="Times New Roman" w:hAnsi="Times New Roman" w:eastAsia="仿宋_GB2312" w:cs="Times New Roman"/>
          <w:b w:val="0"/>
          <w:bCs w:val="0"/>
          <w:sz w:val="32"/>
          <w:szCs w:val="32"/>
          <w:lang w:eastAsia="zh-CN"/>
        </w:rPr>
        <w:t>，</w:t>
      </w:r>
      <w:r>
        <w:rPr>
          <w:rFonts w:hint="eastAsia" w:ascii="仿宋_GB2312" w:eastAsia="仿宋_GB2312"/>
          <w:sz w:val="32"/>
          <w:szCs w:val="32"/>
          <w:lang w:eastAsia="zh-CN"/>
        </w:rPr>
        <w:t>上级驻兴各单位</w:t>
      </w:r>
      <w:r>
        <w:rPr>
          <w:rFonts w:hint="default" w:ascii="Times New Roman" w:hAnsi="Times New Roman" w:eastAsia="仿宋_GB2312" w:cs="Times New Roman"/>
          <w:b w:val="0"/>
          <w:bCs w:val="0"/>
          <w:sz w:val="32"/>
          <w:szCs w:val="32"/>
          <w:lang w:eastAsia="zh-CN"/>
        </w:rPr>
        <w:t>：</w:t>
      </w:r>
      <w:bookmarkStart w:id="27" w:name="_GoBack"/>
      <w:bookmarkEnd w:id="27"/>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jc w:val="left"/>
        <w:textAlignment w:val="auto"/>
        <w:rPr>
          <w:rFonts w:hint="default" w:ascii="Times New Roman" w:hAnsi="Times New Roman" w:eastAsia="仿宋_GB2312" w:cs="Times New Roman"/>
          <w:b w:val="0"/>
          <w:bCs w:val="0"/>
          <w:sz w:val="32"/>
          <w:szCs w:val="32"/>
          <w:lang w:eastAsia="zh-CN"/>
        </w:rPr>
      </w:pPr>
      <w:r>
        <w:rPr>
          <w:rFonts w:hint="eastAsia" w:ascii="Times New Roman" w:hAnsi="Times New Roman" w:eastAsia="仿宋_GB2312" w:cs="Times New Roman"/>
          <w:b w:val="0"/>
          <w:bCs w:val="0"/>
          <w:sz w:val="32"/>
          <w:szCs w:val="32"/>
          <w:lang w:eastAsia="zh-CN"/>
        </w:rPr>
        <w:t>经县人民政府同意，</w:t>
      </w:r>
      <w:r>
        <w:rPr>
          <w:rFonts w:hint="default" w:ascii="Times New Roman" w:hAnsi="Times New Roman" w:eastAsia="仿宋_GB2312" w:cs="Times New Roman"/>
          <w:b w:val="0"/>
          <w:bCs w:val="0"/>
          <w:sz w:val="32"/>
          <w:szCs w:val="32"/>
          <w:lang w:eastAsia="zh-CN"/>
        </w:rPr>
        <w:t>现将《桂林市兴安县</w:t>
      </w:r>
      <w:r>
        <w:rPr>
          <w:rFonts w:hint="default" w:ascii="Times New Roman" w:hAnsi="Times New Roman" w:eastAsia="仿宋_GB2312" w:cs="Times New Roman"/>
          <w:b w:val="0"/>
          <w:bCs w:val="0"/>
          <w:sz w:val="32"/>
          <w:szCs w:val="32"/>
        </w:rPr>
        <w:t>秸秆</w:t>
      </w:r>
      <w:r>
        <w:rPr>
          <w:rFonts w:hint="default" w:ascii="Times New Roman" w:hAnsi="Times New Roman" w:eastAsia="仿宋_GB2312" w:cs="Times New Roman"/>
          <w:b w:val="0"/>
          <w:bCs w:val="0"/>
          <w:sz w:val="32"/>
          <w:szCs w:val="32"/>
          <w:lang w:eastAsia="zh-CN"/>
        </w:rPr>
        <w:t>露天</w:t>
      </w:r>
      <w:r>
        <w:rPr>
          <w:rFonts w:hint="default" w:ascii="Times New Roman" w:hAnsi="Times New Roman" w:eastAsia="仿宋_GB2312" w:cs="Times New Roman"/>
          <w:b w:val="0"/>
          <w:bCs w:val="0"/>
          <w:sz w:val="32"/>
          <w:szCs w:val="32"/>
        </w:rPr>
        <w:t>禁</w:t>
      </w:r>
      <w:r>
        <w:rPr>
          <w:rFonts w:hint="default" w:ascii="Times New Roman" w:hAnsi="Times New Roman" w:eastAsia="仿宋_GB2312" w:cs="Times New Roman"/>
          <w:b w:val="0"/>
          <w:bCs w:val="0"/>
          <w:sz w:val="32"/>
          <w:szCs w:val="32"/>
          <w:lang w:eastAsia="zh-CN"/>
        </w:rPr>
        <w:t>限</w:t>
      </w:r>
      <w:r>
        <w:rPr>
          <w:rFonts w:hint="default" w:ascii="Times New Roman" w:hAnsi="Times New Roman" w:eastAsia="仿宋_GB2312" w:cs="Times New Roman"/>
          <w:b w:val="0"/>
          <w:bCs w:val="0"/>
          <w:sz w:val="32"/>
          <w:szCs w:val="32"/>
        </w:rPr>
        <w:t>烧</w:t>
      </w:r>
      <w:r>
        <w:rPr>
          <w:rFonts w:hint="default" w:ascii="Times New Roman" w:hAnsi="Times New Roman" w:eastAsia="仿宋_GB2312" w:cs="Times New Roman"/>
          <w:b w:val="0"/>
          <w:bCs w:val="0"/>
          <w:sz w:val="32"/>
          <w:szCs w:val="32"/>
          <w:lang w:eastAsia="zh-CN"/>
        </w:rPr>
        <w:t>区域划定</w:t>
      </w:r>
      <w:r>
        <w:rPr>
          <w:rFonts w:hint="default" w:ascii="Times New Roman" w:hAnsi="Times New Roman" w:eastAsia="仿宋_GB2312" w:cs="Times New Roman"/>
          <w:b w:val="0"/>
          <w:bCs w:val="0"/>
          <w:sz w:val="32"/>
          <w:szCs w:val="32"/>
        </w:rPr>
        <w:t>管控</w:t>
      </w:r>
      <w:r>
        <w:rPr>
          <w:rFonts w:hint="default" w:ascii="Times New Roman" w:hAnsi="Times New Roman" w:eastAsia="仿宋_GB2312" w:cs="Times New Roman"/>
          <w:b w:val="0"/>
          <w:bCs w:val="0"/>
          <w:sz w:val="32"/>
          <w:szCs w:val="32"/>
          <w:lang w:eastAsia="zh-CN"/>
        </w:rPr>
        <w:t>及</w:t>
      </w:r>
      <w:r>
        <w:rPr>
          <w:rFonts w:hint="default" w:ascii="Times New Roman" w:hAnsi="Times New Roman" w:eastAsia="仿宋_GB2312" w:cs="Times New Roman"/>
          <w:b w:val="0"/>
          <w:bCs w:val="0"/>
          <w:sz w:val="32"/>
          <w:szCs w:val="32"/>
        </w:rPr>
        <w:t>综合利用方案</w:t>
      </w:r>
      <w:r>
        <w:rPr>
          <w:rFonts w:hint="default" w:ascii="Times New Roman" w:hAnsi="Times New Roman" w:eastAsia="仿宋_GB2312" w:cs="Times New Roman"/>
          <w:b w:val="0"/>
          <w:bCs w:val="0"/>
          <w:sz w:val="32"/>
          <w:szCs w:val="32"/>
          <w:lang w:eastAsia="zh-CN"/>
        </w:rPr>
        <w:t>》印发给你们，请认真贯彻执行。</w:t>
      </w:r>
    </w:p>
    <w:p>
      <w:pPr>
        <w:keepNext w:val="0"/>
        <w:keepLines w:val="0"/>
        <w:pageBreakBefore w:val="0"/>
        <w:widowControl w:val="0"/>
        <w:kinsoku/>
        <w:wordWrap/>
        <w:overflowPunct/>
        <w:topLinePunct w:val="0"/>
        <w:autoSpaceDE/>
        <w:autoSpaceDN/>
        <w:bidi w:val="0"/>
        <w:adjustRightInd/>
        <w:snapToGrid/>
        <w:spacing w:line="586" w:lineRule="exact"/>
        <w:jc w:val="left"/>
        <w:textAlignment w:val="auto"/>
        <w:rPr>
          <w:rFonts w:hint="default" w:ascii="Times New Roman" w:hAnsi="Times New Roman" w:eastAsia="仿宋_GB2312" w:cs="Times New Roman"/>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86" w:lineRule="exact"/>
        <w:jc w:val="left"/>
        <w:textAlignment w:val="auto"/>
        <w:rPr>
          <w:rFonts w:hint="default" w:ascii="Times New Roman" w:hAnsi="Times New Roman" w:eastAsia="仿宋_GB2312" w:cs="Times New Roman"/>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86" w:lineRule="exact"/>
        <w:jc w:val="left"/>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 xml:space="preserve">                    </w:t>
      </w:r>
      <w:r>
        <w:rPr>
          <w:rFonts w:hint="eastAsia"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val="en-US" w:eastAsia="zh-CN"/>
        </w:rPr>
        <w:t xml:space="preserve">     兴安县人民政府</w:t>
      </w:r>
      <w:r>
        <w:rPr>
          <w:rFonts w:hint="eastAsia" w:ascii="Times New Roman" w:hAnsi="Times New Roman" w:eastAsia="仿宋_GB2312" w:cs="Times New Roman"/>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6" w:lineRule="exact"/>
        <w:jc w:val="left"/>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 xml:space="preserve">                          </w:t>
      </w:r>
      <w:r>
        <w:rPr>
          <w:rFonts w:hint="eastAsia"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val="en-US" w:eastAsia="zh-CN"/>
        </w:rPr>
        <w:t xml:space="preserve"> </w:t>
      </w:r>
      <w:r>
        <w:rPr>
          <w:rFonts w:hint="eastAsia"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val="en-US" w:eastAsia="zh-CN"/>
        </w:rPr>
        <w:t xml:space="preserve">  2023年4月4日</w:t>
      </w:r>
    </w:p>
    <w:p>
      <w:pPr>
        <w:jc w:val="both"/>
        <w:rPr>
          <w:rFonts w:hint="eastAsia"/>
          <w:b/>
          <w:bCs/>
          <w:sz w:val="52"/>
          <w:szCs w:val="52"/>
          <w:lang w:eastAsia="zh-CN"/>
        </w:rPr>
      </w:pPr>
    </w:p>
    <w:p>
      <w:pPr>
        <w:jc w:val="center"/>
        <w:rPr>
          <w:rFonts w:hint="eastAsia"/>
          <w:b/>
          <w:bCs/>
          <w:sz w:val="52"/>
          <w:szCs w:val="52"/>
          <w:lang w:eastAsia="zh-CN"/>
        </w:rPr>
      </w:pPr>
    </w:p>
    <w:p>
      <w:pPr>
        <w:jc w:val="center"/>
        <w:rPr>
          <w:rFonts w:hint="eastAsia" w:ascii="方正小标宋_GBK" w:hAnsi="方正小标宋_GBK" w:eastAsia="方正小标宋_GBK" w:cs="方正小标宋_GBK"/>
          <w:b w:val="0"/>
          <w:bCs w:val="0"/>
          <w:sz w:val="52"/>
          <w:szCs w:val="52"/>
          <w:lang w:eastAsia="zh-CN"/>
        </w:rPr>
      </w:pPr>
      <w:r>
        <w:rPr>
          <w:rFonts w:hint="eastAsia" w:ascii="方正小标宋_GBK" w:hAnsi="方正小标宋_GBK" w:eastAsia="方正小标宋_GBK" w:cs="方正小标宋_GBK"/>
          <w:b w:val="0"/>
          <w:bCs w:val="0"/>
          <w:sz w:val="52"/>
          <w:szCs w:val="52"/>
          <w:lang w:eastAsia="zh-CN"/>
        </w:rPr>
        <w:t>桂林市兴安县</w:t>
      </w:r>
      <w:r>
        <w:rPr>
          <w:rFonts w:hint="eastAsia" w:ascii="方正小标宋_GBK" w:hAnsi="方正小标宋_GBK" w:eastAsia="方正小标宋_GBK" w:cs="方正小标宋_GBK"/>
          <w:b w:val="0"/>
          <w:bCs w:val="0"/>
          <w:sz w:val="52"/>
          <w:szCs w:val="52"/>
        </w:rPr>
        <w:t>秸秆</w:t>
      </w:r>
      <w:r>
        <w:rPr>
          <w:rFonts w:hint="eastAsia" w:ascii="方正小标宋_GBK" w:hAnsi="方正小标宋_GBK" w:eastAsia="方正小标宋_GBK" w:cs="方正小标宋_GBK"/>
          <w:b w:val="0"/>
          <w:bCs w:val="0"/>
          <w:sz w:val="52"/>
          <w:szCs w:val="52"/>
          <w:lang w:eastAsia="zh-CN"/>
        </w:rPr>
        <w:t>露天</w:t>
      </w:r>
      <w:r>
        <w:rPr>
          <w:rFonts w:hint="eastAsia" w:ascii="方正小标宋_GBK" w:hAnsi="方正小标宋_GBK" w:eastAsia="方正小标宋_GBK" w:cs="方正小标宋_GBK"/>
          <w:b w:val="0"/>
          <w:bCs w:val="0"/>
          <w:sz w:val="52"/>
          <w:szCs w:val="52"/>
        </w:rPr>
        <w:t>禁</w:t>
      </w:r>
      <w:r>
        <w:rPr>
          <w:rFonts w:hint="eastAsia" w:ascii="方正小标宋_GBK" w:hAnsi="方正小标宋_GBK" w:eastAsia="方正小标宋_GBK" w:cs="方正小标宋_GBK"/>
          <w:b w:val="0"/>
          <w:bCs w:val="0"/>
          <w:sz w:val="52"/>
          <w:szCs w:val="52"/>
          <w:lang w:eastAsia="zh-CN"/>
        </w:rPr>
        <w:t>限</w:t>
      </w:r>
      <w:r>
        <w:rPr>
          <w:rFonts w:hint="eastAsia" w:ascii="方正小标宋_GBK" w:hAnsi="方正小标宋_GBK" w:eastAsia="方正小标宋_GBK" w:cs="方正小标宋_GBK"/>
          <w:b w:val="0"/>
          <w:bCs w:val="0"/>
          <w:sz w:val="52"/>
          <w:szCs w:val="52"/>
        </w:rPr>
        <w:t>烧</w:t>
      </w:r>
      <w:r>
        <w:rPr>
          <w:rFonts w:hint="eastAsia" w:ascii="方正小标宋_GBK" w:hAnsi="方正小标宋_GBK" w:eastAsia="方正小标宋_GBK" w:cs="方正小标宋_GBK"/>
          <w:b w:val="0"/>
          <w:bCs w:val="0"/>
          <w:sz w:val="52"/>
          <w:szCs w:val="52"/>
          <w:lang w:eastAsia="zh-CN"/>
        </w:rPr>
        <w:t>区域</w:t>
      </w:r>
    </w:p>
    <w:p>
      <w:pPr>
        <w:jc w:val="center"/>
        <w:rPr>
          <w:rFonts w:hint="eastAsia" w:ascii="方正小标宋_GBK" w:hAnsi="方正小标宋_GBK" w:eastAsia="方正小标宋_GBK" w:cs="方正小标宋_GBK"/>
          <w:b w:val="0"/>
          <w:bCs w:val="0"/>
          <w:sz w:val="52"/>
          <w:szCs w:val="52"/>
        </w:rPr>
      </w:pPr>
      <w:r>
        <w:rPr>
          <w:rFonts w:hint="eastAsia" w:ascii="方正小标宋_GBK" w:hAnsi="方正小标宋_GBK" w:eastAsia="方正小标宋_GBK" w:cs="方正小标宋_GBK"/>
          <w:b w:val="0"/>
          <w:bCs w:val="0"/>
          <w:sz w:val="52"/>
          <w:szCs w:val="52"/>
          <w:lang w:eastAsia="zh-CN"/>
        </w:rPr>
        <w:t>划定</w:t>
      </w:r>
      <w:r>
        <w:rPr>
          <w:rFonts w:hint="eastAsia" w:ascii="方正小标宋_GBK" w:hAnsi="方正小标宋_GBK" w:eastAsia="方正小标宋_GBK" w:cs="方正小标宋_GBK"/>
          <w:b w:val="0"/>
          <w:bCs w:val="0"/>
          <w:sz w:val="52"/>
          <w:szCs w:val="52"/>
        </w:rPr>
        <w:t>管控</w:t>
      </w:r>
      <w:r>
        <w:rPr>
          <w:rFonts w:hint="eastAsia" w:ascii="方正小标宋_GBK" w:hAnsi="方正小标宋_GBK" w:eastAsia="方正小标宋_GBK" w:cs="方正小标宋_GBK"/>
          <w:b w:val="0"/>
          <w:bCs w:val="0"/>
          <w:sz w:val="52"/>
          <w:szCs w:val="52"/>
          <w:lang w:eastAsia="zh-CN"/>
        </w:rPr>
        <w:t>及</w:t>
      </w:r>
      <w:r>
        <w:rPr>
          <w:rFonts w:hint="eastAsia" w:ascii="方正小标宋_GBK" w:hAnsi="方正小标宋_GBK" w:eastAsia="方正小标宋_GBK" w:cs="方正小标宋_GBK"/>
          <w:b w:val="0"/>
          <w:bCs w:val="0"/>
          <w:sz w:val="52"/>
          <w:szCs w:val="52"/>
        </w:rPr>
        <w:t>综合利用方案</w:t>
      </w:r>
    </w:p>
    <w:p>
      <w:pPr>
        <w:jc w:val="center"/>
        <w:rPr>
          <w:rFonts w:hint="eastAsia"/>
          <w:b/>
          <w:bCs/>
          <w:sz w:val="52"/>
          <w:szCs w:val="52"/>
        </w:rPr>
      </w:pPr>
    </w:p>
    <w:p>
      <w:pPr>
        <w:jc w:val="center"/>
        <w:rPr>
          <w:rFonts w:hint="eastAsia"/>
          <w:b/>
          <w:bCs/>
          <w:sz w:val="52"/>
          <w:szCs w:val="52"/>
        </w:rPr>
      </w:pPr>
    </w:p>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p>
    <w:p>
      <w:pPr>
        <w:jc w:val="center"/>
        <w:rPr>
          <w:rFonts w:hint="eastAsia"/>
          <w:b/>
          <w:bCs/>
          <w:sz w:val="32"/>
          <w:szCs w:val="32"/>
          <w:lang w:val="en-US" w:eastAsia="zh-CN"/>
        </w:rPr>
      </w:pPr>
      <w:r>
        <w:rPr>
          <w:rFonts w:hint="eastAsia"/>
          <w:b/>
          <w:bCs/>
          <w:sz w:val="32"/>
          <w:szCs w:val="32"/>
          <w:lang w:val="en-US" w:eastAsia="zh-CN"/>
        </w:rPr>
        <w:t>兴安县人民政府</w:t>
      </w:r>
    </w:p>
    <w:p>
      <w:pPr>
        <w:jc w:val="center"/>
        <w:rPr>
          <w:rFonts w:hint="default"/>
          <w:b/>
          <w:bCs/>
          <w:sz w:val="32"/>
          <w:szCs w:val="32"/>
          <w:lang w:val="en-US" w:eastAsia="zh-CN"/>
        </w:rPr>
      </w:pPr>
      <w:r>
        <w:rPr>
          <w:rFonts w:hint="eastAsia"/>
          <w:b/>
          <w:bCs/>
          <w:sz w:val="32"/>
          <w:szCs w:val="32"/>
          <w:lang w:val="en-US" w:eastAsia="zh-CN"/>
        </w:rPr>
        <w:t>二○二三年三月</w:t>
      </w:r>
    </w:p>
    <w:p>
      <w:pPr>
        <w:spacing w:before="0" w:beforeLines="0" w:beforeAutospacing="0" w:after="0" w:afterLines="0" w:afterAutospacing="0" w:line="240" w:lineRule="auto"/>
        <w:ind w:left="0" w:leftChars="0" w:right="0" w:rightChars="0" w:firstLine="0" w:firstLineChars="0"/>
        <w:jc w:val="center"/>
        <w:rPr>
          <w:rFonts w:hint="default" w:ascii="宋体" w:hAnsi="宋体" w:eastAsia="宋体" w:cs="Times New Roman"/>
          <w:b/>
          <w:bCs/>
          <w:sz w:val="44"/>
          <w:szCs w:val="44"/>
        </w:rPr>
        <w:sectPr>
          <w:footerReference r:id="rId3" w:type="default"/>
          <w:footerReference r:id="rId4" w:type="even"/>
          <w:pgSz w:w="11906" w:h="16838"/>
          <w:pgMar w:top="2098" w:right="1304" w:bottom="1304" w:left="1587" w:header="851" w:footer="1361" w:gutter="0"/>
          <w:pgNumType w:fmt="decimal" w:start="1"/>
          <w:cols w:space="0" w:num="1"/>
          <w:rtlGutter w:val="0"/>
          <w:docGrid w:type="lines" w:linePitch="327" w:charSpace="0"/>
        </w:sectPr>
      </w:pPr>
    </w:p>
    <w:sdt>
      <w:sdtPr>
        <w:rPr>
          <w:rFonts w:hint="default" w:ascii="宋体" w:hAnsi="宋体" w:eastAsia="宋体" w:cs="Times New Roman"/>
          <w:b/>
          <w:bCs/>
          <w:sz w:val="44"/>
          <w:szCs w:val="44"/>
        </w:rPr>
        <w:id w:val="147457824"/>
      </w:sdtPr>
      <w:sdtEndPr>
        <w:rPr>
          <w:rFonts w:hint="default" w:ascii="Times New Roman" w:hAnsi="Times New Roman" w:eastAsia="仿宋_GB2312" w:cs="Times New Roman"/>
          <w:b/>
          <w:bCs/>
          <w:sz w:val="21"/>
          <w:szCs w:val="44"/>
        </w:rPr>
      </w:sdtEndPr>
      <w:sdtContent>
        <w:p>
          <w:pPr>
            <w:spacing w:before="0" w:beforeLines="0" w:beforeAutospacing="0" w:after="0" w:afterLines="0" w:afterAutospacing="0" w:line="24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b/>
              <w:bCs/>
              <w:sz w:val="44"/>
              <w:szCs w:val="44"/>
              <w:lang w:val="en-US" w:eastAsia="zh-CN"/>
            </w:rPr>
            <w:t xml:space="preserve">   </w:t>
          </w:r>
          <w:r>
            <w:rPr>
              <w:rFonts w:ascii="宋体" w:hAnsi="宋体" w:eastAsia="宋体"/>
              <w:b/>
              <w:bCs/>
              <w:sz w:val="44"/>
              <w:szCs w:val="44"/>
            </w:rPr>
            <w:t>录</w:t>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TOC \o "1-2" \h \u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_Toc3597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kern w:val="44"/>
              <w:sz w:val="28"/>
              <w:szCs w:val="28"/>
              <w:lang w:val="en-US" w:eastAsia="zh-CN"/>
            </w:rPr>
            <w:t>前言</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_Toc3597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4</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_Toc19952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eastAsia="zh-CN"/>
            </w:rPr>
            <w:t>第</w:t>
          </w:r>
          <w:r>
            <w:rPr>
              <w:rFonts w:hint="eastAsia" w:eastAsia="仿宋_GB2312" w:cs="Times New Roman"/>
              <w:b/>
              <w:sz w:val="28"/>
              <w:szCs w:val="28"/>
              <w:lang w:val="en-US" w:eastAsia="zh-CN"/>
            </w:rPr>
            <w:t>一</w:t>
          </w:r>
          <w:r>
            <w:rPr>
              <w:rFonts w:hint="default" w:ascii="Times New Roman" w:hAnsi="Times New Roman" w:eastAsia="仿宋_GB2312" w:cs="Times New Roman"/>
              <w:b/>
              <w:sz w:val="28"/>
              <w:szCs w:val="28"/>
              <w:lang w:eastAsia="zh-CN"/>
            </w:rPr>
            <w:t>章</w:t>
          </w:r>
          <w:r>
            <w:rPr>
              <w:rFonts w:hint="default" w:ascii="Times New Roman" w:hAnsi="Times New Roman" w:eastAsia="仿宋_GB2312" w:cs="Times New Roman"/>
              <w:b/>
              <w:sz w:val="28"/>
              <w:szCs w:val="28"/>
              <w:lang w:val="en-US" w:eastAsia="zh-CN"/>
            </w:rPr>
            <w:t xml:space="preserve"> 总论</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_Toc19952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6</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_Toc12723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一</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eastAsia="zh-CN"/>
            </w:rPr>
            <w:t>划定</w:t>
          </w:r>
          <w:r>
            <w:rPr>
              <w:rFonts w:hint="default" w:ascii="Times New Roman" w:hAnsi="Times New Roman" w:eastAsia="仿宋_GB2312" w:cs="Times New Roman"/>
              <w:sz w:val="28"/>
              <w:szCs w:val="28"/>
            </w:rPr>
            <w:t>依据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_Toc12723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_Toc29525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二</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指导思想</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_Toc29525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_Toc8731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三</w:t>
          </w:r>
          <w:r>
            <w:rPr>
              <w:rFonts w:hint="default" w:ascii="Times New Roman" w:hAnsi="Times New Roman" w:eastAsia="仿宋_GB2312" w:cs="Times New Roman"/>
              <w:sz w:val="28"/>
              <w:szCs w:val="28"/>
              <w:lang w:val="en-US" w:eastAsia="zh-CN"/>
            </w:rPr>
            <w:t>、划定原则</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_Toc8731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_Toc19317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四</w:t>
          </w:r>
          <w:r>
            <w:rPr>
              <w:rFonts w:hint="default" w:ascii="Times New Roman" w:hAnsi="Times New Roman" w:eastAsia="仿宋_GB2312" w:cs="Times New Roman"/>
              <w:sz w:val="28"/>
              <w:szCs w:val="28"/>
              <w:lang w:val="en-US" w:eastAsia="zh-CN"/>
            </w:rPr>
            <w:t>、主要任务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_Toc19317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_Toc15447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五</w:t>
          </w:r>
          <w:r>
            <w:rPr>
              <w:rFonts w:hint="default" w:ascii="Times New Roman" w:hAnsi="Times New Roman" w:eastAsia="仿宋_GB2312" w:cs="Times New Roman"/>
              <w:sz w:val="28"/>
              <w:szCs w:val="28"/>
              <w:lang w:val="en-US" w:eastAsia="zh-CN"/>
            </w:rPr>
            <w:t>、工作目标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_Toc15447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_Toc14610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eastAsia="zh-CN"/>
            </w:rPr>
            <w:t>六</w:t>
          </w:r>
          <w:r>
            <w:rPr>
              <w:rFonts w:hint="default" w:ascii="Times New Roman" w:hAnsi="Times New Roman" w:eastAsia="仿宋_GB2312" w:cs="Times New Roman"/>
              <w:sz w:val="28"/>
              <w:szCs w:val="28"/>
              <w:lang w:val="en-US" w:eastAsia="zh-CN"/>
            </w:rPr>
            <w:t>、术语与定义</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_Toc14610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_Toc21038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eastAsia="zh-CN"/>
            </w:rPr>
            <w:t>第</w:t>
          </w:r>
          <w:r>
            <w:rPr>
              <w:rFonts w:hint="eastAsia" w:eastAsia="仿宋_GB2312" w:cs="Times New Roman"/>
              <w:b/>
              <w:sz w:val="28"/>
              <w:szCs w:val="28"/>
              <w:lang w:val="en-US" w:eastAsia="zh-CN"/>
            </w:rPr>
            <w:t>二</w:t>
          </w:r>
          <w:r>
            <w:rPr>
              <w:rFonts w:hint="default" w:ascii="Times New Roman" w:hAnsi="Times New Roman" w:eastAsia="仿宋_GB2312" w:cs="Times New Roman"/>
              <w:b/>
              <w:sz w:val="28"/>
              <w:szCs w:val="28"/>
              <w:lang w:eastAsia="zh-CN"/>
            </w:rPr>
            <w:t>章</w:t>
          </w:r>
          <w:r>
            <w:rPr>
              <w:rFonts w:hint="default" w:ascii="Times New Roman" w:hAnsi="Times New Roman" w:eastAsia="仿宋_GB2312" w:cs="Times New Roman"/>
              <w:b/>
              <w:sz w:val="28"/>
              <w:szCs w:val="28"/>
              <w:lang w:val="en-US" w:eastAsia="zh-CN"/>
            </w:rPr>
            <w:t xml:space="preserve"> 概况</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_Toc21038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8</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_Toc8351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一</w:t>
          </w:r>
          <w:r>
            <w:rPr>
              <w:rFonts w:hint="default" w:ascii="Times New Roman" w:hAnsi="Times New Roman" w:eastAsia="仿宋_GB2312" w:cs="Times New Roman"/>
              <w:sz w:val="28"/>
              <w:szCs w:val="28"/>
              <w:lang w:val="en-US" w:eastAsia="zh-CN"/>
            </w:rPr>
            <w:t>、行政区划</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_Toc8351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_Toc20717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二</w:t>
          </w:r>
          <w:r>
            <w:rPr>
              <w:rFonts w:hint="default" w:ascii="Times New Roman" w:hAnsi="Times New Roman" w:eastAsia="仿宋_GB2312" w:cs="Times New Roman"/>
              <w:sz w:val="28"/>
              <w:szCs w:val="28"/>
              <w:lang w:val="en-US" w:eastAsia="zh-CN"/>
            </w:rPr>
            <w:t>、气候</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_Toc20717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_Toc29268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三</w:t>
          </w:r>
          <w:r>
            <w:rPr>
              <w:rFonts w:hint="default" w:ascii="Times New Roman" w:hAnsi="Times New Roman" w:eastAsia="仿宋_GB2312" w:cs="Times New Roman"/>
              <w:sz w:val="28"/>
              <w:szCs w:val="28"/>
              <w:lang w:val="en-US" w:eastAsia="zh-CN"/>
            </w:rPr>
            <w:t>、农作物种植情况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_Toc29268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_Toc10140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eastAsia="zh-CN"/>
            </w:rPr>
            <w:t>第</w:t>
          </w:r>
          <w:r>
            <w:rPr>
              <w:rFonts w:hint="eastAsia" w:eastAsia="仿宋_GB2312" w:cs="Times New Roman"/>
              <w:b/>
              <w:sz w:val="28"/>
              <w:szCs w:val="28"/>
              <w:lang w:val="en-US" w:eastAsia="zh-CN"/>
            </w:rPr>
            <w:t>三</w:t>
          </w:r>
          <w:r>
            <w:rPr>
              <w:rFonts w:hint="default" w:ascii="Times New Roman" w:hAnsi="Times New Roman" w:eastAsia="仿宋_GB2312" w:cs="Times New Roman"/>
              <w:b/>
              <w:sz w:val="28"/>
              <w:szCs w:val="28"/>
              <w:lang w:eastAsia="zh-CN"/>
            </w:rPr>
            <w:t>章</w:t>
          </w:r>
          <w:r>
            <w:rPr>
              <w:rFonts w:hint="default" w:ascii="Times New Roman" w:hAnsi="Times New Roman" w:eastAsia="仿宋_GB2312" w:cs="Times New Roman"/>
              <w:b/>
              <w:sz w:val="28"/>
              <w:szCs w:val="28"/>
              <w:lang w:val="en-US" w:eastAsia="zh-CN"/>
            </w:rPr>
            <w:t xml:space="preserve"> 禁烧区与限烧区范围划定</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_Toc10140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9</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_Toc27135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一</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划定要求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_Toc27135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_Toc12306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二</w:t>
          </w:r>
          <w:r>
            <w:rPr>
              <w:rFonts w:hint="default" w:ascii="Times New Roman" w:hAnsi="Times New Roman" w:eastAsia="仿宋_GB2312" w:cs="Times New Roman"/>
              <w:sz w:val="28"/>
              <w:szCs w:val="28"/>
              <w:lang w:val="en-US" w:eastAsia="zh-CN"/>
            </w:rPr>
            <w:t>、禁烧区与限烧区范围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_Toc12306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_Toc23126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eastAsia="zh-CN"/>
            </w:rPr>
            <w:t>第</w:t>
          </w:r>
          <w:r>
            <w:rPr>
              <w:rFonts w:hint="eastAsia" w:eastAsia="仿宋_GB2312" w:cs="Times New Roman"/>
              <w:b/>
              <w:sz w:val="28"/>
              <w:szCs w:val="28"/>
              <w:lang w:val="en-US" w:eastAsia="zh-CN"/>
            </w:rPr>
            <w:t>四</w:t>
          </w:r>
          <w:r>
            <w:rPr>
              <w:rFonts w:hint="default" w:ascii="Times New Roman" w:hAnsi="Times New Roman" w:eastAsia="仿宋_GB2312" w:cs="Times New Roman"/>
              <w:b/>
              <w:sz w:val="28"/>
              <w:szCs w:val="28"/>
              <w:lang w:eastAsia="zh-CN"/>
            </w:rPr>
            <w:t>章</w:t>
          </w:r>
          <w:r>
            <w:rPr>
              <w:rFonts w:hint="default" w:ascii="Times New Roman" w:hAnsi="Times New Roman" w:eastAsia="仿宋_GB2312" w:cs="Times New Roman"/>
              <w:b/>
              <w:sz w:val="28"/>
              <w:szCs w:val="28"/>
              <w:lang w:val="en-US" w:eastAsia="zh-CN"/>
            </w:rPr>
            <w:t xml:space="preserve"> 管控及综合利用方案</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_Toc23126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13</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_Toc14720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一</w:t>
          </w:r>
          <w:r>
            <w:rPr>
              <w:rFonts w:hint="default" w:ascii="Times New Roman" w:hAnsi="Times New Roman" w:eastAsia="仿宋_GB2312" w:cs="Times New Roman"/>
              <w:sz w:val="28"/>
              <w:szCs w:val="28"/>
              <w:lang w:val="en-US" w:eastAsia="zh-CN"/>
            </w:rPr>
            <w:t>、管控要求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_Toc14720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_Toc18384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二</w:t>
          </w:r>
          <w:r>
            <w:rPr>
              <w:rFonts w:hint="default" w:ascii="Times New Roman" w:hAnsi="Times New Roman" w:eastAsia="仿宋_GB2312" w:cs="Times New Roman"/>
              <w:sz w:val="28"/>
              <w:szCs w:val="28"/>
              <w:lang w:val="en-US" w:eastAsia="zh-CN"/>
            </w:rPr>
            <w:t>、管控及综合利用工作任务及要求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_Toc18384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4"/>
            <w:tabs>
              <w:tab w:val="right" w:leader="dot" w:pos="8300"/>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_Toc2147 </w:instrText>
          </w:r>
          <w:r>
            <w:rPr>
              <w:rFonts w:hint="default" w:ascii="Times New Roman" w:hAnsi="Times New Roman" w:eastAsia="仿宋_GB2312" w:cs="Times New Roman"/>
              <w:sz w:val="28"/>
              <w:szCs w:val="28"/>
            </w:rPr>
            <w:fldChar w:fldCharType="separate"/>
          </w:r>
          <w:r>
            <w:rPr>
              <w:rFonts w:hint="eastAsia" w:eastAsia="仿宋_GB2312" w:cs="Times New Roman"/>
              <w:sz w:val="28"/>
              <w:szCs w:val="28"/>
              <w:lang w:val="en-US" w:eastAsia="zh-CN"/>
            </w:rPr>
            <w:t>三</w:t>
          </w:r>
          <w:r>
            <w:rPr>
              <w:rFonts w:hint="default" w:ascii="Times New Roman" w:hAnsi="Times New Roman" w:eastAsia="仿宋_GB2312" w:cs="Times New Roman"/>
              <w:sz w:val="28"/>
              <w:szCs w:val="28"/>
              <w:lang w:val="en-US" w:eastAsia="zh-CN"/>
            </w:rPr>
            <w:t>、管控保障措施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_Toc2147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_Toc30545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val="en-US" w:eastAsia="zh-CN"/>
            </w:rPr>
            <w:t>附表</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1</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秸秆禁烧区统计表</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_Toc30545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23</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eastAsia" w:eastAsia="仿宋_GB2312" w:cs="Times New Roman"/>
              <w:b/>
              <w:sz w:val="28"/>
              <w:szCs w:val="28"/>
              <w:lang w:eastAsia="zh-CN"/>
            </w:rPr>
            <w:t>　　　</w:t>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_Toc4921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val="en-US" w:eastAsia="zh-CN"/>
            </w:rPr>
            <w:t>2</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秸秆禁烧区边界拐点坐标</w:t>
          </w:r>
          <w:r>
            <w:rPr>
              <w:rFonts w:hint="default" w:ascii="Times New Roman" w:hAnsi="Times New Roman" w:eastAsia="仿宋_GB2312" w:cs="Times New Roman"/>
              <w:b/>
              <w:sz w:val="28"/>
              <w:szCs w:val="28"/>
            </w:rPr>
            <w:tab/>
          </w:r>
          <w:r>
            <w:rPr>
              <w:rFonts w:hint="eastAsia" w:eastAsia="仿宋_GB2312" w:cs="Times New Roman"/>
              <w:b/>
              <w:sz w:val="28"/>
              <w:szCs w:val="28"/>
              <w:lang w:val="en-US" w:eastAsia="zh-CN"/>
            </w:rPr>
            <w:t>20</w:t>
          </w:r>
          <w:r>
            <w:rPr>
              <w:rFonts w:hint="default" w:ascii="Times New Roman" w:hAnsi="Times New Roman" w:eastAsia="仿宋_GB2312" w:cs="Times New Roman"/>
              <w:b/>
              <w:sz w:val="28"/>
              <w:szCs w:val="28"/>
            </w:rPr>
            <w:fldChar w:fldCharType="end"/>
          </w:r>
        </w:p>
        <w:p>
          <w:pPr>
            <w:pStyle w:val="23"/>
            <w:tabs>
              <w:tab w:val="right" w:leader="dot" w:pos="8300"/>
            </w:tabs>
            <w:rPr>
              <w:rFonts w:hint="eastAsia" w:ascii="Times New Roman" w:hAnsi="Times New Roman" w:eastAsia="仿宋_GB2312" w:cs="Times New Roman"/>
              <w:b/>
              <w:sz w:val="28"/>
              <w:szCs w:val="28"/>
              <w:lang w:val="en-US" w:eastAsia="zh-CN"/>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_Toc32514 </w:instrText>
          </w:r>
          <w:r>
            <w:rPr>
              <w:rFonts w:hint="default" w:ascii="Times New Roman" w:hAnsi="Times New Roman" w:eastAsia="仿宋_GB2312" w:cs="Times New Roman"/>
              <w:b/>
              <w:sz w:val="28"/>
              <w:szCs w:val="28"/>
            </w:rPr>
            <w:fldChar w:fldCharType="separate"/>
          </w:r>
          <w:r>
            <w:rPr>
              <w:rFonts w:hint="eastAsia" w:eastAsia="仿宋_GB2312" w:cs="Times New Roman"/>
              <w:b/>
              <w:sz w:val="28"/>
              <w:szCs w:val="28"/>
              <w:lang w:eastAsia="zh-CN"/>
            </w:rPr>
            <w:t>　　　</w:t>
          </w:r>
          <w:r>
            <w:rPr>
              <w:rFonts w:hint="eastAsia" w:eastAsia="仿宋_GB2312" w:cs="Times New Roman"/>
              <w:b/>
              <w:sz w:val="28"/>
              <w:szCs w:val="28"/>
              <w:lang w:val="en-US" w:eastAsia="zh-CN"/>
            </w:rPr>
            <w:t>3．</w:t>
          </w:r>
          <w:r>
            <w:rPr>
              <w:rFonts w:hint="default" w:ascii="Times New Roman" w:hAnsi="Times New Roman" w:eastAsia="仿宋_GB2312" w:cs="Times New Roman"/>
              <w:b/>
              <w:sz w:val="28"/>
              <w:szCs w:val="28"/>
              <w:lang w:val="en-US" w:eastAsia="zh-CN"/>
            </w:rPr>
            <w:t>秸秆限烧区统计表</w:t>
          </w:r>
          <w:r>
            <w:rPr>
              <w:rFonts w:hint="default" w:ascii="Times New Roman" w:hAnsi="Times New Roman" w:eastAsia="仿宋_GB2312" w:cs="Times New Roman"/>
              <w:b/>
              <w:sz w:val="28"/>
              <w:szCs w:val="28"/>
            </w:rPr>
            <w:tab/>
          </w:r>
          <w:r>
            <w:rPr>
              <w:rFonts w:hint="eastAsia" w:eastAsia="仿宋_GB2312" w:cs="Times New Roman"/>
              <w:b/>
              <w:sz w:val="28"/>
              <w:szCs w:val="28"/>
              <w:lang w:val="en-US" w:eastAsia="zh-CN"/>
            </w:rPr>
            <w:t>3</w:t>
          </w:r>
          <w:r>
            <w:rPr>
              <w:rFonts w:hint="default" w:ascii="Times New Roman" w:hAnsi="Times New Roman" w:eastAsia="仿宋_GB2312" w:cs="Times New Roman"/>
              <w:b/>
              <w:sz w:val="28"/>
              <w:szCs w:val="28"/>
            </w:rPr>
            <w:fldChar w:fldCharType="end"/>
          </w:r>
          <w:r>
            <w:rPr>
              <w:rFonts w:hint="eastAsia" w:eastAsia="仿宋_GB2312" w:cs="Times New Roman"/>
              <w:b/>
              <w:sz w:val="28"/>
              <w:szCs w:val="28"/>
              <w:lang w:val="en-US" w:eastAsia="zh-CN"/>
            </w:rPr>
            <w:t>9</w:t>
          </w:r>
        </w:p>
        <w:p>
          <w:pPr>
            <w:pStyle w:val="23"/>
            <w:tabs>
              <w:tab w:val="right" w:leader="dot" w:pos="8300"/>
            </w:tabs>
            <w:rPr>
              <w:rFonts w:hint="eastAsia" w:ascii="Times New Roman" w:hAnsi="Times New Roman" w:eastAsia="仿宋_GB2312" w:cs="Times New Roman"/>
              <w:b/>
              <w:sz w:val="28"/>
              <w:szCs w:val="28"/>
              <w:lang w:val="en-US" w:eastAsia="zh-CN"/>
            </w:rPr>
          </w:pPr>
          <w:r>
            <w:rPr>
              <w:rFonts w:hint="eastAsia" w:eastAsia="仿宋_GB2312" w:cs="Times New Roman"/>
              <w:b/>
              <w:sz w:val="28"/>
              <w:szCs w:val="28"/>
              <w:lang w:eastAsia="zh-CN"/>
            </w:rPr>
            <w:t>　　　</w:t>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_Toc10254 </w:instrText>
          </w:r>
          <w:r>
            <w:rPr>
              <w:rFonts w:hint="default" w:ascii="Times New Roman" w:hAnsi="Times New Roman" w:eastAsia="仿宋_GB2312" w:cs="Times New Roman"/>
              <w:b/>
              <w:sz w:val="28"/>
              <w:szCs w:val="28"/>
            </w:rPr>
            <w:fldChar w:fldCharType="separate"/>
          </w:r>
          <w:r>
            <w:rPr>
              <w:rFonts w:hint="eastAsia" w:eastAsia="仿宋_GB2312" w:cs="Times New Roman"/>
              <w:b/>
              <w:sz w:val="28"/>
              <w:szCs w:val="28"/>
              <w:lang w:val="en-US" w:eastAsia="zh-CN"/>
            </w:rPr>
            <w:t>4．</w:t>
          </w:r>
          <w:r>
            <w:rPr>
              <w:rFonts w:hint="default" w:ascii="Times New Roman" w:hAnsi="Times New Roman" w:eastAsia="仿宋_GB2312" w:cs="Times New Roman"/>
              <w:b/>
              <w:sz w:val="28"/>
              <w:szCs w:val="28"/>
              <w:lang w:val="en-US" w:eastAsia="zh-CN"/>
            </w:rPr>
            <w:t>秸秆限烧区边界拐点坐标</w:t>
          </w:r>
          <w:r>
            <w:rPr>
              <w:rFonts w:hint="default" w:ascii="Times New Roman" w:hAnsi="Times New Roman" w:eastAsia="仿宋_GB2312" w:cs="Times New Roman"/>
              <w:b/>
              <w:sz w:val="28"/>
              <w:szCs w:val="28"/>
            </w:rPr>
            <w:tab/>
          </w:r>
          <w:r>
            <w:rPr>
              <w:rFonts w:hint="eastAsia" w:eastAsia="仿宋_GB2312" w:cs="Times New Roman"/>
              <w:b/>
              <w:sz w:val="28"/>
              <w:szCs w:val="28"/>
              <w:lang w:val="en-US" w:eastAsia="zh-CN"/>
            </w:rPr>
            <w:t>4</w:t>
          </w:r>
          <w:r>
            <w:rPr>
              <w:rFonts w:hint="default" w:ascii="Times New Roman" w:hAnsi="Times New Roman" w:eastAsia="仿宋_GB2312" w:cs="Times New Roman"/>
              <w:b/>
              <w:sz w:val="28"/>
              <w:szCs w:val="28"/>
            </w:rPr>
            <w:fldChar w:fldCharType="end"/>
          </w:r>
          <w:r>
            <w:rPr>
              <w:rFonts w:hint="eastAsia" w:eastAsia="仿宋_GB2312" w:cs="Times New Roman"/>
              <w:b/>
              <w:sz w:val="28"/>
              <w:szCs w:val="28"/>
              <w:lang w:val="en-US" w:eastAsia="zh-CN"/>
            </w:rPr>
            <w:t>0</w:t>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_Toc30509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val="en-US" w:eastAsia="zh-CN"/>
            </w:rPr>
            <w:t>附图</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1</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兴安县全域露天禁烧区域和限烧区域示意图</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_Toc30509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59</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_Toc31459 </w:instrText>
          </w:r>
          <w:r>
            <w:rPr>
              <w:rFonts w:hint="default" w:ascii="Times New Roman" w:hAnsi="Times New Roman" w:eastAsia="仿宋_GB2312" w:cs="Times New Roman"/>
              <w:b/>
              <w:sz w:val="28"/>
              <w:szCs w:val="28"/>
            </w:rPr>
            <w:fldChar w:fldCharType="separate"/>
          </w:r>
          <w:r>
            <w:rPr>
              <w:rFonts w:hint="eastAsia" w:eastAsia="仿宋_GB2312" w:cs="Times New Roman"/>
              <w:b/>
              <w:sz w:val="28"/>
              <w:szCs w:val="28"/>
              <w:lang w:eastAsia="zh-CN"/>
            </w:rPr>
            <w:t>　　　</w:t>
          </w:r>
          <w:r>
            <w:rPr>
              <w:rFonts w:hint="default" w:ascii="Times New Roman" w:hAnsi="Times New Roman" w:eastAsia="仿宋_GB2312" w:cs="Times New Roman"/>
              <w:b/>
              <w:sz w:val="28"/>
              <w:szCs w:val="28"/>
              <w:lang w:val="en-US" w:eastAsia="zh-CN"/>
            </w:rPr>
            <w:t>2</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兴安县路网禁烧区域范围示意图</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_Toc31459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60</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eastAsia" w:eastAsia="仿宋_GB2312" w:cs="Times New Roman"/>
              <w:b/>
              <w:sz w:val="28"/>
              <w:szCs w:val="28"/>
              <w:lang w:eastAsia="zh-CN"/>
            </w:rPr>
            <w:t>　　　</w:t>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_Toc7502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val="en-US" w:eastAsia="zh-CN"/>
            </w:rPr>
            <w:t>3</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兴安县建成区禁烧区域范围示意图</w:t>
          </w:r>
          <w:r>
            <w:rPr>
              <w:rFonts w:hint="default" w:ascii="Times New Roman" w:hAnsi="Times New Roman" w:eastAsia="仿宋_GB2312" w:cs="Times New Roman"/>
              <w:b/>
              <w:sz w:val="28"/>
              <w:szCs w:val="28"/>
            </w:rPr>
            <w:tab/>
          </w:r>
          <w:r>
            <w:rPr>
              <w:rFonts w:hint="eastAsia" w:eastAsia="仿宋_GB2312" w:cs="Times New Roman"/>
              <w:b/>
              <w:sz w:val="28"/>
              <w:szCs w:val="28"/>
              <w:lang w:val="en-US" w:eastAsia="zh-CN"/>
            </w:rPr>
            <w:t>59</w:t>
          </w:r>
          <w:r>
            <w:rPr>
              <w:rFonts w:hint="default" w:ascii="Times New Roman" w:hAnsi="Times New Roman" w:eastAsia="仿宋_GB2312" w:cs="Times New Roman"/>
              <w:b/>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eastAsia" w:eastAsia="仿宋_GB2312" w:cs="Times New Roman"/>
              <w:b/>
              <w:sz w:val="28"/>
              <w:szCs w:val="28"/>
              <w:lang w:eastAsia="zh-CN"/>
            </w:rPr>
            <w:t>　　　</w:t>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_Toc5849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lang w:val="en-US" w:eastAsia="zh-CN"/>
            </w:rPr>
            <w:t>4</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兴安县机场禁烧区域范围示意图</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_Toc5849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62</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3"/>
            <w:tabs>
              <w:tab w:val="right" w:leader="dot" w:pos="8300"/>
            </w:tabs>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_Toc2946 </w:instrText>
          </w:r>
          <w:r>
            <w:rPr>
              <w:rFonts w:hint="default" w:ascii="Times New Roman" w:hAnsi="Times New Roman" w:eastAsia="仿宋_GB2312" w:cs="Times New Roman"/>
              <w:b/>
              <w:sz w:val="28"/>
              <w:szCs w:val="28"/>
            </w:rPr>
            <w:fldChar w:fldCharType="separate"/>
          </w:r>
          <w:r>
            <w:rPr>
              <w:rFonts w:hint="eastAsia" w:eastAsia="仿宋_GB2312" w:cs="Times New Roman"/>
              <w:b/>
              <w:sz w:val="28"/>
              <w:szCs w:val="28"/>
              <w:lang w:eastAsia="zh-CN"/>
            </w:rPr>
            <w:t>　　　</w:t>
          </w:r>
          <w:r>
            <w:rPr>
              <w:rFonts w:hint="default" w:ascii="Times New Roman" w:hAnsi="Times New Roman" w:eastAsia="仿宋_GB2312" w:cs="Times New Roman"/>
              <w:b/>
              <w:sz w:val="28"/>
              <w:szCs w:val="28"/>
              <w:lang w:val="en-US" w:eastAsia="zh-CN"/>
            </w:rPr>
            <w:t>5</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兴安县林场禁烧区域范围示意图</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_Toc2946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63</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pStyle w:val="23"/>
            <w:tabs>
              <w:tab w:val="right" w:leader="dot" w:pos="8300"/>
            </w:tabs>
            <w:rPr>
              <w:rFonts w:hint="eastAsia" w:ascii="Times New Roman" w:hAnsi="Times New Roman" w:eastAsia="仿宋_GB2312" w:cs="Times New Roman"/>
              <w:b/>
              <w:sz w:val="28"/>
              <w:szCs w:val="28"/>
              <w:lang w:val="en-US" w:eastAsia="zh-CN"/>
            </w:rPr>
          </w:pP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HYPERLINK \l _Toc16029 </w:instrText>
          </w:r>
          <w:r>
            <w:rPr>
              <w:rFonts w:hint="default" w:ascii="Times New Roman" w:hAnsi="Times New Roman" w:eastAsia="仿宋_GB2312" w:cs="Times New Roman"/>
              <w:b/>
              <w:sz w:val="28"/>
              <w:szCs w:val="28"/>
            </w:rPr>
            <w:fldChar w:fldCharType="separate"/>
          </w:r>
          <w:r>
            <w:rPr>
              <w:rFonts w:hint="eastAsia" w:eastAsia="仿宋_GB2312" w:cs="Times New Roman"/>
              <w:b/>
              <w:sz w:val="28"/>
              <w:szCs w:val="28"/>
              <w:lang w:eastAsia="zh-CN"/>
            </w:rPr>
            <w:t>　　　</w:t>
          </w:r>
          <w:r>
            <w:rPr>
              <w:rFonts w:hint="default" w:ascii="Times New Roman" w:hAnsi="Times New Roman" w:eastAsia="仿宋_GB2312" w:cs="Times New Roman"/>
              <w:b/>
              <w:sz w:val="28"/>
              <w:szCs w:val="28"/>
              <w:lang w:val="en-US" w:eastAsia="zh-CN"/>
            </w:rPr>
            <w:t>6</w:t>
          </w:r>
          <w:r>
            <w:rPr>
              <w:rFonts w:hint="eastAsia" w:eastAsia="仿宋_GB2312" w:cs="Times New Roman"/>
              <w:b/>
              <w:sz w:val="28"/>
              <w:szCs w:val="28"/>
              <w:lang w:val="en-US" w:eastAsia="zh-CN"/>
            </w:rPr>
            <w:t>．</w:t>
          </w:r>
          <w:r>
            <w:rPr>
              <w:rFonts w:hint="default" w:ascii="Times New Roman" w:hAnsi="Times New Roman" w:eastAsia="仿宋_GB2312" w:cs="Times New Roman"/>
              <w:b/>
              <w:sz w:val="28"/>
              <w:szCs w:val="28"/>
              <w:lang w:val="en-US" w:eastAsia="zh-CN"/>
            </w:rPr>
            <w:t>兴安县自然保护区禁烧区域范围示意图</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_Toc16029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64</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rPr>
            <w:fldChar w:fldCharType="end"/>
          </w:r>
        </w:p>
        <w:p>
          <w:pPr>
            <w:rPr>
              <w:rFonts w:hint="default" w:ascii="Times New Roman" w:hAnsi="Times New Roman" w:eastAsia="仿宋_GB2312" w:cs="Times New Roman"/>
            </w:rPr>
          </w:pPr>
          <w:r>
            <w:rPr>
              <w:rFonts w:hint="default" w:ascii="Times New Roman" w:hAnsi="Times New Roman" w:eastAsia="仿宋_GB2312" w:cs="Times New Roman"/>
              <w:b/>
              <w:sz w:val="28"/>
              <w:szCs w:val="28"/>
            </w:rPr>
            <w:fldChar w:fldCharType="end"/>
          </w:r>
        </w:p>
      </w:sdtContent>
    </w:sdt>
    <w:p>
      <w:pPr>
        <w:pStyle w:val="3"/>
        <w:bidi w:val="0"/>
        <w:jc w:val="center"/>
        <w:outlineLvl w:val="0"/>
        <w:rPr>
          <w:rFonts w:hint="eastAsia" w:ascii="Times New Roman" w:hAnsi="Times New Roman" w:eastAsia="宋体" w:cs="Times New Roman"/>
          <w:b/>
          <w:kern w:val="44"/>
          <w:sz w:val="44"/>
          <w:szCs w:val="22"/>
          <w:lang w:val="en-US" w:eastAsia="zh-CN"/>
        </w:rPr>
        <w:sectPr>
          <w:footerReference r:id="rId5" w:type="default"/>
          <w:pgSz w:w="11906" w:h="16838"/>
          <w:pgMar w:top="2098" w:right="1304" w:bottom="1304" w:left="1587" w:header="851" w:footer="1361" w:gutter="0"/>
          <w:pgNumType w:fmt="decimal" w:start="3"/>
          <w:cols w:space="0" w:num="1"/>
          <w:rtlGutter w:val="0"/>
          <w:docGrid w:type="lines" w:linePitch="327" w:charSpace="0"/>
        </w:sectPr>
      </w:pPr>
      <w:bookmarkStart w:id="0" w:name="_Toc3597"/>
    </w:p>
    <w:bookmarkEnd w:id="0"/>
    <w:p>
      <w:pPr>
        <w:pStyle w:val="3"/>
        <w:keepNext/>
        <w:keepLines/>
        <w:pageBreakBefore w:val="0"/>
        <w:widowControl w:val="0"/>
        <w:kinsoku/>
        <w:wordWrap/>
        <w:overflowPunct/>
        <w:topLinePunct w:val="0"/>
        <w:autoSpaceDE w:val="0"/>
        <w:autoSpaceDN w:val="0"/>
        <w:bidi w:val="0"/>
        <w:adjustRightInd w:val="0"/>
        <w:snapToGrid/>
        <w:spacing w:before="0" w:beforeAutospacing="0" w:after="0" w:afterAutospacing="0" w:line="640" w:lineRule="exact"/>
        <w:jc w:val="center"/>
        <w:textAlignment w:val="auto"/>
        <w:outlineLvl w:val="0"/>
        <w:rPr>
          <w:rFonts w:hint="eastAsia" w:ascii="方正小标宋_GBK" w:hAnsi="方正小标宋_GBK" w:eastAsia="方正小标宋_GBK" w:cs="方正小标宋_GBK"/>
          <w:b w:val="0"/>
          <w:bCs/>
          <w:kern w:val="44"/>
          <w:sz w:val="44"/>
          <w:szCs w:val="22"/>
          <w:lang w:val="en-US" w:eastAsia="zh-CN"/>
        </w:rPr>
      </w:pPr>
      <w:r>
        <w:rPr>
          <w:rFonts w:hint="eastAsia" w:ascii="方正小标宋_GBK" w:hAnsi="方正小标宋_GBK" w:eastAsia="方正小标宋_GBK" w:cs="方正小标宋_GBK"/>
          <w:b w:val="0"/>
          <w:bCs/>
          <w:kern w:val="44"/>
          <w:sz w:val="44"/>
          <w:szCs w:val="22"/>
          <w:lang w:val="en-US" w:eastAsia="zh-CN"/>
        </w:rPr>
        <w:t>前  言</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exact"/>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为切实做好露天禁烧工作，减少大气污染，进一步改善环境空气质量，保障人民群众身体健康，</w:t>
      </w:r>
      <w:r>
        <w:rPr>
          <w:rFonts w:hint="default" w:ascii="Times New Roman" w:hAnsi="Times New Roman" w:eastAsia="仿宋_GB2312" w:cs="Times New Roman"/>
          <w:sz w:val="32"/>
          <w:szCs w:val="32"/>
        </w:rPr>
        <w:t>根据《中华人民共和国大气污染防治法》</w:t>
      </w:r>
      <w:r>
        <w:rPr>
          <w:rFonts w:hint="default" w:ascii="Times New Roman" w:hAnsi="Times New Roman" w:eastAsia="仿宋_GB2312" w:cs="Times New Roman"/>
          <w:sz w:val="32"/>
          <w:szCs w:val="32"/>
          <w:lang w:eastAsia="zh-CN"/>
        </w:rPr>
        <w:t>》《广</w:t>
      </w:r>
      <w:r>
        <w:rPr>
          <w:rFonts w:hint="default" w:ascii="Times New Roman" w:hAnsi="Times New Roman" w:eastAsia="仿宋_GB2312" w:cs="Times New Roman"/>
          <w:sz w:val="32"/>
          <w:szCs w:val="32"/>
        </w:rPr>
        <w:t>西壮族自治区大气污染防治条例》</w:t>
      </w:r>
      <w:r>
        <w:rPr>
          <w:rFonts w:hint="default" w:ascii="Times New Roman" w:hAnsi="Times New Roman" w:eastAsia="仿宋_GB2312" w:cs="Times New Roman"/>
          <w:sz w:val="32"/>
          <w:szCs w:val="32"/>
          <w:lang w:eastAsia="zh-CN"/>
        </w:rPr>
        <w:t>》《自</w:t>
      </w:r>
      <w:r>
        <w:rPr>
          <w:rFonts w:hint="default" w:ascii="Times New Roman" w:hAnsi="Times New Roman" w:eastAsia="仿宋_GB2312" w:cs="Times New Roman"/>
          <w:sz w:val="32"/>
          <w:szCs w:val="32"/>
        </w:rPr>
        <w:t>治区污染防治攻坚战领导小组办公室关于印发广西秸秆露天禁烧区划定和综合利用指导方案的通知》（桂环规范〔2019〕2号）总体部署要求，按照《桂林市露天禁烧区划定和秸秆综合利用工作实施方案》的要求，结合</w:t>
      </w:r>
      <w:r>
        <w:rPr>
          <w:rFonts w:hint="default" w:ascii="Times New Roman" w:hAnsi="Times New Roman" w:eastAsia="仿宋_GB2312" w:cs="Times New Roman"/>
          <w:sz w:val="32"/>
          <w:szCs w:val="32"/>
          <w:lang w:eastAsia="zh-CN"/>
        </w:rPr>
        <w:t>兴安县</w:t>
      </w:r>
      <w:r>
        <w:rPr>
          <w:rFonts w:hint="default" w:ascii="Times New Roman" w:hAnsi="Times New Roman" w:eastAsia="仿宋_GB2312" w:cs="Times New Roman"/>
          <w:sz w:val="32"/>
          <w:szCs w:val="32"/>
        </w:rPr>
        <w:t>秸秆禁烧和综合利用现状，根据相关技术规定，划定</w:t>
      </w:r>
      <w:r>
        <w:rPr>
          <w:rFonts w:hint="default" w:ascii="Times New Roman" w:hAnsi="Times New Roman" w:eastAsia="仿宋_GB2312" w:cs="Times New Roman"/>
          <w:sz w:val="32"/>
          <w:szCs w:val="32"/>
          <w:lang w:eastAsia="zh-CN"/>
        </w:rPr>
        <w:t>兴安县</w:t>
      </w:r>
      <w:r>
        <w:rPr>
          <w:rFonts w:hint="default" w:ascii="Times New Roman" w:hAnsi="Times New Roman" w:eastAsia="仿宋_GB2312" w:cs="Times New Roman"/>
          <w:sz w:val="32"/>
          <w:szCs w:val="32"/>
        </w:rPr>
        <w:t>秸秆禁烧区域</w:t>
      </w:r>
      <w:r>
        <w:rPr>
          <w:rFonts w:hint="default" w:ascii="Times New Roman" w:hAnsi="Times New Roman" w:eastAsia="仿宋_GB2312" w:cs="Times New Roman"/>
          <w:sz w:val="32"/>
          <w:szCs w:val="32"/>
          <w:lang w:eastAsia="zh-CN"/>
        </w:rPr>
        <w:t>和限烧区域</w:t>
      </w:r>
      <w:r>
        <w:rPr>
          <w:rFonts w:hint="default" w:ascii="Times New Roman" w:hAnsi="Times New Roman" w:eastAsia="仿宋_GB2312" w:cs="Times New Roman"/>
          <w:sz w:val="32"/>
          <w:szCs w:val="32"/>
        </w:rPr>
        <w:t>，并提出秸秆禁烧与综合利用管控措施。</w:t>
      </w:r>
    </w:p>
    <w:p>
      <w:pPr>
        <w:rPr>
          <w:rFonts w:hint="eastAsia"/>
          <w:b/>
          <w:bCs/>
          <w:sz w:val="28"/>
          <w:szCs w:val="28"/>
        </w:rPr>
      </w:pPr>
      <w:r>
        <w:rPr>
          <w:rFonts w:hint="eastAsia"/>
          <w:b/>
          <w:bCs/>
          <w:sz w:val="28"/>
          <w:szCs w:val="28"/>
        </w:rPr>
        <w:br w:type="page"/>
      </w:r>
    </w:p>
    <w:p>
      <w:pPr>
        <w:pStyle w:val="3"/>
        <w:bidi w:val="0"/>
        <w:jc w:val="center"/>
        <w:rPr>
          <w:rFonts w:hint="eastAsia" w:ascii="黑体" w:hAnsi="黑体" w:eastAsia="黑体" w:cs="黑体"/>
          <w:b w:val="0"/>
          <w:bCs/>
          <w:sz w:val="36"/>
          <w:szCs w:val="36"/>
          <w:lang w:val="en-US" w:eastAsia="zh-CN"/>
        </w:rPr>
      </w:pPr>
      <w:bookmarkStart w:id="1" w:name="_Toc19952"/>
      <w:bookmarkEnd w:id="1"/>
      <w:r>
        <w:rPr>
          <w:rFonts w:hint="eastAsia" w:ascii="黑体" w:hAnsi="黑体" w:eastAsia="黑体" w:cs="黑体"/>
          <w:b w:val="0"/>
          <w:bCs/>
          <w:sz w:val="36"/>
          <w:szCs w:val="36"/>
          <w:lang w:eastAsia="zh-CN"/>
        </w:rPr>
        <w:t>第</w:t>
      </w:r>
      <w:r>
        <w:rPr>
          <w:rFonts w:hint="eastAsia" w:ascii="黑体" w:hAnsi="黑体" w:eastAsia="黑体" w:cs="黑体"/>
          <w:b w:val="0"/>
          <w:bCs/>
          <w:sz w:val="36"/>
          <w:szCs w:val="36"/>
          <w:lang w:val="en-US" w:eastAsia="zh-CN"/>
        </w:rPr>
        <w:t>一</w:t>
      </w:r>
      <w:r>
        <w:rPr>
          <w:rFonts w:hint="eastAsia" w:ascii="黑体" w:hAnsi="黑体" w:eastAsia="黑体" w:cs="黑体"/>
          <w:b w:val="0"/>
          <w:bCs/>
          <w:sz w:val="36"/>
          <w:szCs w:val="36"/>
          <w:lang w:eastAsia="zh-CN"/>
        </w:rPr>
        <w:t>章</w:t>
      </w:r>
      <w:r>
        <w:rPr>
          <w:rFonts w:hint="eastAsia" w:ascii="黑体" w:hAnsi="黑体" w:eastAsia="黑体" w:cs="黑体"/>
          <w:b w:val="0"/>
          <w:bCs/>
          <w:sz w:val="36"/>
          <w:szCs w:val="36"/>
          <w:lang w:val="en-US" w:eastAsia="zh-CN"/>
        </w:rPr>
        <w:t xml:space="preserve">  总  论</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eastAsia" w:ascii="黑体" w:hAnsi="黑体" w:eastAsia="黑体" w:cs="黑体"/>
          <w:b w:val="0"/>
          <w:bCs/>
          <w:sz w:val="32"/>
          <w:szCs w:val="32"/>
        </w:rPr>
      </w:pPr>
      <w:bookmarkStart w:id="2" w:name="_Toc12723"/>
      <w:bookmarkEnd w:id="2"/>
      <w:r>
        <w:rPr>
          <w:rFonts w:hint="eastAsia" w:ascii="黑体" w:hAnsi="黑体" w:eastAsia="黑体" w:cs="黑体"/>
          <w:b w:val="0"/>
          <w:bCs/>
          <w:sz w:val="32"/>
          <w:szCs w:val="32"/>
          <w:lang w:val="en-US" w:eastAsia="zh-CN"/>
        </w:rPr>
        <w:t>一、</w:t>
      </w:r>
      <w:r>
        <w:rPr>
          <w:rFonts w:hint="eastAsia" w:ascii="黑体" w:hAnsi="黑体" w:eastAsia="黑体" w:cs="黑体"/>
          <w:b w:val="0"/>
          <w:bCs/>
          <w:sz w:val="32"/>
          <w:szCs w:val="32"/>
          <w:lang w:eastAsia="zh-CN"/>
        </w:rPr>
        <w:t>划定</w:t>
      </w:r>
      <w:r>
        <w:rPr>
          <w:rFonts w:hint="eastAsia" w:ascii="黑体" w:hAnsi="黑体" w:eastAsia="黑体" w:cs="黑体"/>
          <w:b w:val="0"/>
          <w:bCs/>
          <w:sz w:val="32"/>
          <w:szCs w:val="32"/>
        </w:rPr>
        <w:t>依据</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eastAsia" w:eastAsia="仿宋_GB2312" w:cs="Times New Roman"/>
          <w:sz w:val="32"/>
          <w:szCs w:val="32"/>
          <w:lang w:val="en-US" w:eastAsia="zh-CN"/>
        </w:rPr>
        <w:t>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《中华人民共和国大气污染防治法》；</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eastAsia" w:eastAsia="仿宋_GB2312" w:cs="Times New Roman"/>
          <w:sz w:val="32"/>
          <w:szCs w:val="32"/>
          <w:lang w:val="en-US" w:eastAsia="zh-CN"/>
        </w:rPr>
        <w:t>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《秸秆禁烧和综合利用管理办法》（环发〔1999〕98号）；</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eastAsia"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《广西壮族自治区大气污染防治条例》；</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w:t>
      </w:r>
      <w:r>
        <w:rPr>
          <w:rFonts w:hint="eastAsia" w:eastAsia="仿宋_GB2312" w:cs="Times New Roman"/>
          <w:sz w:val="32"/>
          <w:szCs w:val="32"/>
          <w:lang w:val="en-US" w:eastAsia="zh-CN"/>
        </w:rPr>
        <w:t>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广西壮族自治区秸秆禁烧管理暂行办法</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w:t>
      </w:r>
      <w:r>
        <w:rPr>
          <w:rFonts w:hint="eastAsia" w:eastAsia="仿宋_GB2312" w:cs="Times New Roman"/>
          <w:sz w:val="32"/>
          <w:szCs w:val="32"/>
          <w:lang w:val="en-US" w:eastAsia="zh-CN"/>
        </w:rPr>
        <w:t>五</w:t>
      </w:r>
      <w:r>
        <w:rPr>
          <w:rFonts w:hint="default" w:ascii="Times New Roman" w:hAnsi="Times New Roman" w:eastAsia="仿宋_GB2312" w:cs="Times New Roman"/>
          <w:sz w:val="32"/>
          <w:szCs w:val="32"/>
          <w:lang w:eastAsia="zh-CN"/>
        </w:rPr>
        <w:t>）《广西秸秆露天禁烧区划定和综合利用指导方案》（桂环规范〔2019〕2号）；</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w:t>
      </w:r>
      <w:r>
        <w:rPr>
          <w:rFonts w:hint="eastAsia" w:eastAsia="仿宋_GB2312" w:cs="Times New Roman"/>
          <w:sz w:val="32"/>
          <w:szCs w:val="32"/>
          <w:lang w:val="en-US" w:eastAsia="zh-CN"/>
        </w:rPr>
        <w:t>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广西壮族</w:t>
      </w:r>
      <w:r>
        <w:rPr>
          <w:rFonts w:hint="default" w:ascii="Times New Roman" w:hAnsi="Times New Roman" w:eastAsia="仿宋_GB2312" w:cs="Times New Roman"/>
          <w:sz w:val="32"/>
          <w:szCs w:val="32"/>
        </w:rPr>
        <w:t>自治区</w:t>
      </w:r>
      <w:r>
        <w:rPr>
          <w:rFonts w:hint="default" w:ascii="Times New Roman" w:hAnsi="Times New Roman" w:eastAsia="仿宋_GB2312" w:cs="Times New Roman"/>
          <w:sz w:val="32"/>
          <w:szCs w:val="32"/>
          <w:lang w:eastAsia="zh-CN"/>
        </w:rPr>
        <w:t>生态环境厅关于印发广西</w:t>
      </w:r>
      <w:r>
        <w:rPr>
          <w:rFonts w:hint="default" w:ascii="Times New Roman" w:hAnsi="Times New Roman" w:eastAsia="仿宋_GB2312" w:cs="Times New Roman"/>
          <w:sz w:val="32"/>
          <w:szCs w:val="32"/>
        </w:rPr>
        <w:t>秸秆禁烧三年工作方案</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2020—2022年</w:t>
      </w:r>
      <w:r>
        <w:rPr>
          <w:rFonts w:hint="default" w:ascii="Times New Roman" w:hAnsi="Times New Roman" w:eastAsia="仿宋_GB2312" w:cs="Times New Roman"/>
          <w:sz w:val="32"/>
          <w:szCs w:val="32"/>
          <w:lang w:eastAsia="zh-CN"/>
        </w:rPr>
        <w:t>）的通知》（桂环发〔2020〕6号）；</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七</w:t>
      </w:r>
      <w:r>
        <w:rPr>
          <w:rFonts w:hint="default" w:ascii="Times New Roman" w:hAnsi="Times New Roman" w:eastAsia="仿宋_GB2312" w:cs="Times New Roman"/>
          <w:sz w:val="32"/>
          <w:szCs w:val="32"/>
          <w:lang w:val="en-US" w:eastAsia="zh-CN"/>
        </w:rPr>
        <w:t>）《桂林市露天禁烧区划定和秸秆综合利用工作实施方案》</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3" w:name="_Toc29525"/>
      <w:bookmarkEnd w:id="3"/>
      <w:r>
        <w:rPr>
          <w:rFonts w:hint="eastAsia" w:ascii="黑体" w:hAnsi="黑体" w:eastAsia="黑体" w:cs="黑体"/>
          <w:b w:val="0"/>
          <w:bCs/>
          <w:sz w:val="32"/>
          <w:szCs w:val="32"/>
          <w:lang w:val="en-US" w:eastAsia="zh-CN"/>
        </w:rPr>
        <w:t>二、</w:t>
      </w:r>
      <w:r>
        <w:rPr>
          <w:rFonts w:hint="default" w:ascii="黑体" w:hAnsi="黑体" w:eastAsia="黑体" w:cs="黑体"/>
          <w:b w:val="0"/>
          <w:bCs/>
          <w:sz w:val="32"/>
          <w:szCs w:val="32"/>
          <w:lang w:val="en-US" w:eastAsia="zh-CN"/>
        </w:rPr>
        <w:t>指导思想</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全面贯彻</w:t>
      </w:r>
      <w:r>
        <w:rPr>
          <w:rFonts w:hint="eastAsia" w:eastAsia="仿宋_GB2312" w:cs="Times New Roman"/>
          <w:sz w:val="32"/>
          <w:szCs w:val="32"/>
          <w:lang w:val="en-US" w:eastAsia="zh-CN"/>
        </w:rPr>
        <w:t>落实</w:t>
      </w:r>
      <w:r>
        <w:rPr>
          <w:rFonts w:hint="default" w:ascii="Times New Roman" w:hAnsi="Times New Roman" w:eastAsia="仿宋_GB2312" w:cs="Times New Roman"/>
          <w:sz w:val="32"/>
          <w:szCs w:val="32"/>
          <w:lang w:val="en-US" w:eastAsia="zh-CN"/>
        </w:rPr>
        <w:t>党的二十大提出的“坚持精</w:t>
      </w:r>
      <w:r>
        <w:rPr>
          <w:rFonts w:hint="eastAsia" w:eastAsia="仿宋_GB2312" w:cs="Times New Roman"/>
          <w:sz w:val="32"/>
          <w:szCs w:val="32"/>
          <w:lang w:val="en-US" w:eastAsia="zh-CN"/>
        </w:rPr>
        <w:t>准</w:t>
      </w:r>
      <w:r>
        <w:rPr>
          <w:rFonts w:hint="default" w:ascii="Times New Roman" w:hAnsi="Times New Roman" w:eastAsia="仿宋_GB2312" w:cs="Times New Roman"/>
          <w:sz w:val="32"/>
          <w:szCs w:val="32"/>
          <w:lang w:val="en-US" w:eastAsia="zh-CN"/>
        </w:rPr>
        <w:t>治污、科学治污、依法治污、持续深入打好蓝天</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碧水、净土保卫战。加强污染物协同控制，基本消除重污染天气”的战略部署，坚持节约资源和保护环境的基本国策，围绕美丽乡村建设和现代农业发展，坚持“属地管理、多措并举、疏堵结合、以禁促用”的原则，强化宣传，严格执法，建立长效监管机制，突出政策引导，推动秸秆综合利用和禁烧工作，确保环境空气质量明显改善。</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4" w:name="_Toc8731"/>
      <w:bookmarkEnd w:id="4"/>
      <w:r>
        <w:rPr>
          <w:rFonts w:hint="eastAsia" w:ascii="黑体" w:hAnsi="黑体" w:eastAsia="黑体" w:cs="黑体"/>
          <w:b w:val="0"/>
          <w:bCs/>
          <w:sz w:val="32"/>
          <w:szCs w:val="32"/>
          <w:lang w:val="en-US" w:eastAsia="zh-CN"/>
        </w:rPr>
        <w:t>三、</w:t>
      </w:r>
      <w:r>
        <w:rPr>
          <w:rFonts w:hint="default" w:ascii="黑体" w:hAnsi="黑体" w:eastAsia="黑体" w:cs="黑体"/>
          <w:b w:val="0"/>
          <w:bCs/>
          <w:sz w:val="32"/>
          <w:szCs w:val="32"/>
          <w:lang w:val="en-US" w:eastAsia="zh-CN"/>
        </w:rPr>
        <w:t>划定原则</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（一）合理性原则</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w:t>
      </w:r>
      <w:r>
        <w:rPr>
          <w:rFonts w:hint="eastAsia" w:eastAsia="仿宋_GB2312" w:cs="Times New Roman"/>
          <w:sz w:val="32"/>
          <w:szCs w:val="32"/>
          <w:lang w:val="en-US" w:eastAsia="zh-CN"/>
        </w:rPr>
        <w:t>兴安县</w:t>
      </w:r>
      <w:r>
        <w:rPr>
          <w:rFonts w:hint="default" w:ascii="Times New Roman" w:hAnsi="Times New Roman" w:eastAsia="仿宋_GB2312" w:cs="Times New Roman"/>
          <w:sz w:val="32"/>
          <w:szCs w:val="32"/>
          <w:lang w:val="en-US" w:eastAsia="zh-CN"/>
        </w:rPr>
        <w:t>土地利用类型及空气质量状况，结合实际与管理需求，尽可能避免破碎化，尽量连续成片，确定秸秆禁烧区的界线。秸秆禁烧区和限烧区划定与其他法律法规关于区域划分冲突的，以其他法律法规为准。</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w:t>
      </w:r>
      <w:r>
        <w:rPr>
          <w:rFonts w:hint="default" w:ascii="楷体_GB2312" w:hAnsi="楷体_GB2312" w:eastAsia="楷体_GB2312" w:cs="楷体_GB2312"/>
          <w:sz w:val="32"/>
          <w:szCs w:val="32"/>
          <w:lang w:val="en-US" w:eastAsia="zh-CN"/>
        </w:rPr>
        <w:t>动态性原则</w:t>
      </w:r>
    </w:p>
    <w:p>
      <w:pPr>
        <w:keepNext w:val="0"/>
        <w:keepLines w:val="0"/>
        <w:pageBreakBefore w:val="0"/>
        <w:widowControl w:val="0"/>
        <w:numPr>
          <w:ilvl w:val="0"/>
          <w:numId w:val="0"/>
        </w:numPr>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秸秆禁烧区可以根据空气质量及土地利用变化状况，进行动态调整。</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5" w:name="_Toc19317"/>
      <w:bookmarkEnd w:id="5"/>
      <w:r>
        <w:rPr>
          <w:rFonts w:hint="eastAsia" w:ascii="黑体" w:hAnsi="黑体" w:eastAsia="黑体" w:cs="黑体"/>
          <w:b w:val="0"/>
          <w:bCs/>
          <w:sz w:val="32"/>
          <w:szCs w:val="32"/>
          <w:lang w:val="en-US" w:eastAsia="zh-CN"/>
        </w:rPr>
        <w:t>四、</w:t>
      </w:r>
      <w:r>
        <w:rPr>
          <w:rFonts w:hint="default" w:ascii="黑体" w:hAnsi="黑体" w:eastAsia="黑体" w:cs="黑体"/>
          <w:b w:val="0"/>
          <w:bCs/>
          <w:sz w:val="32"/>
          <w:szCs w:val="32"/>
          <w:lang w:val="en-US" w:eastAsia="zh-CN"/>
        </w:rPr>
        <w:t>主要任务</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划</w:t>
      </w:r>
      <w:r>
        <w:rPr>
          <w:rFonts w:hint="eastAsia" w:eastAsia="仿宋_GB2312" w:cs="Times New Roman"/>
          <w:sz w:val="32"/>
          <w:szCs w:val="32"/>
          <w:lang w:val="en-US" w:eastAsia="zh-CN"/>
        </w:rPr>
        <w:t>定</w:t>
      </w:r>
      <w:r>
        <w:rPr>
          <w:rFonts w:hint="default" w:ascii="Times New Roman" w:hAnsi="Times New Roman" w:eastAsia="仿宋_GB2312" w:cs="Times New Roman"/>
          <w:sz w:val="32"/>
          <w:szCs w:val="32"/>
          <w:lang w:val="en-US" w:eastAsia="zh-CN"/>
        </w:rPr>
        <w:t>兴安县秸秆禁烧区与限烧区范围，同时制定禁烧区、限烧区的管控要求</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进一步压紧压实秸秆禁烧工作责任，强化执法监管，严格考核问责，努力改善兴安县环境空气质量。</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6" w:name="_Toc15447"/>
      <w:bookmarkEnd w:id="6"/>
      <w:r>
        <w:rPr>
          <w:rFonts w:hint="eastAsia" w:ascii="黑体" w:hAnsi="黑体" w:eastAsia="黑体" w:cs="黑体"/>
          <w:b w:val="0"/>
          <w:bCs/>
          <w:sz w:val="32"/>
          <w:szCs w:val="32"/>
          <w:lang w:val="en-US" w:eastAsia="zh-CN"/>
        </w:rPr>
        <w:t>五、</w:t>
      </w:r>
      <w:r>
        <w:rPr>
          <w:rFonts w:hint="default" w:ascii="黑体" w:hAnsi="黑体" w:eastAsia="黑体" w:cs="黑体"/>
          <w:b w:val="0"/>
          <w:bCs/>
          <w:sz w:val="32"/>
          <w:szCs w:val="32"/>
          <w:lang w:val="en-US" w:eastAsia="zh-CN"/>
        </w:rPr>
        <w:t>工作目标</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坚持政府领导、部门联动的工作原则，严防死守，实现禁烧工作全面覆盖、全程监管，建立完善以政府为主体的网格化监管体系；要多途径、多层次探索秸秆综合利用方式，实现“疏堵结合、以疏为主、属地管理，全面禁烧”的目标。</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7" w:name="_Toc14610"/>
      <w:bookmarkEnd w:id="7"/>
      <w:r>
        <w:rPr>
          <w:rFonts w:hint="eastAsia" w:ascii="黑体" w:hAnsi="黑体" w:eastAsia="黑体" w:cs="黑体"/>
          <w:b w:val="0"/>
          <w:bCs/>
          <w:sz w:val="32"/>
          <w:szCs w:val="32"/>
          <w:lang w:val="en-US" w:eastAsia="zh-CN"/>
        </w:rPr>
        <w:t>六、</w:t>
      </w:r>
      <w:r>
        <w:rPr>
          <w:rFonts w:hint="default" w:ascii="黑体" w:hAnsi="黑体" w:eastAsia="黑体" w:cs="黑体"/>
          <w:b w:val="0"/>
          <w:bCs/>
          <w:sz w:val="32"/>
          <w:szCs w:val="32"/>
          <w:lang w:val="en-US" w:eastAsia="zh-CN"/>
        </w:rPr>
        <w:t>术语与定义</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秸秆：指玉米、稻谷、高粱、豆类、薯类、油料等农作物在收获籽实后的剩余部分，玉米遂轴、稻壳、花生壳以及农作物根系、残茬等均视同秸秆。</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秸秆禁烧区：在任何条件下，都不允许进行秸秆露天焚烧的区域。</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秸秆限烧区：在特定时间、气象、空气环境质量条件下，可进行有计划、有序的秸秆露天焚烧活动的区域。</w:t>
      </w:r>
    </w:p>
    <w:p>
      <w:pPr>
        <w:pStyle w:val="3"/>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0" w:leftChars="0" w:firstLine="0" w:firstLineChars="0"/>
        <w:jc w:val="center"/>
        <w:textAlignment w:val="auto"/>
        <w:rPr>
          <w:rFonts w:hint="eastAsia" w:ascii="黑体" w:hAnsi="黑体" w:eastAsia="黑体" w:cs="黑体"/>
          <w:b w:val="0"/>
          <w:bCs/>
          <w:sz w:val="36"/>
          <w:szCs w:val="36"/>
          <w:lang w:eastAsia="zh-CN"/>
        </w:rPr>
      </w:pPr>
      <w:bookmarkStart w:id="8" w:name="_Toc21038"/>
    </w:p>
    <w:bookmarkEnd w:id="8"/>
    <w:p>
      <w:pPr>
        <w:pStyle w:val="3"/>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0" w:leftChars="0" w:firstLine="0" w:firstLineChars="0"/>
        <w:jc w:val="center"/>
        <w:textAlignment w:val="auto"/>
        <w:rPr>
          <w:rFonts w:hint="eastAsia" w:ascii="黑体" w:hAnsi="黑体" w:eastAsia="黑体" w:cs="黑体"/>
          <w:b w:val="0"/>
          <w:bCs/>
          <w:sz w:val="36"/>
          <w:szCs w:val="36"/>
          <w:lang w:val="en-US" w:eastAsia="zh-CN"/>
        </w:rPr>
      </w:pPr>
      <w:r>
        <w:rPr>
          <w:rFonts w:hint="eastAsia" w:ascii="黑体" w:hAnsi="黑体" w:eastAsia="黑体" w:cs="黑体"/>
          <w:b w:val="0"/>
          <w:bCs/>
          <w:sz w:val="36"/>
          <w:szCs w:val="36"/>
          <w:lang w:eastAsia="zh-CN"/>
        </w:rPr>
        <w:t>第</w:t>
      </w:r>
      <w:r>
        <w:rPr>
          <w:rFonts w:hint="eastAsia" w:ascii="黑体" w:hAnsi="黑体" w:eastAsia="黑体" w:cs="黑体"/>
          <w:b w:val="0"/>
          <w:bCs/>
          <w:sz w:val="36"/>
          <w:szCs w:val="36"/>
          <w:lang w:val="en-US" w:eastAsia="zh-CN"/>
        </w:rPr>
        <w:t>二</w:t>
      </w:r>
      <w:r>
        <w:rPr>
          <w:rFonts w:hint="eastAsia" w:ascii="黑体" w:hAnsi="黑体" w:eastAsia="黑体" w:cs="黑体"/>
          <w:b w:val="0"/>
          <w:bCs/>
          <w:sz w:val="36"/>
          <w:szCs w:val="36"/>
          <w:lang w:eastAsia="zh-CN"/>
        </w:rPr>
        <w:t>章</w:t>
      </w:r>
      <w:r>
        <w:rPr>
          <w:rFonts w:hint="eastAsia" w:ascii="黑体" w:hAnsi="黑体" w:eastAsia="黑体" w:cs="黑体"/>
          <w:b w:val="0"/>
          <w:bCs/>
          <w:sz w:val="36"/>
          <w:szCs w:val="36"/>
          <w:lang w:val="en-US" w:eastAsia="zh-CN"/>
        </w:rPr>
        <w:t xml:space="preserve">  概  况</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兴安被誉为“兴盛之都、安定之邑”，是中国银杏、毛竹、商品粮、生猪和柑桔生产基地县 ，荣获“全国科技进步先进县” 、“全国科普示范县” 、“美丽中国示范县” 、“2019年全国村庄清洁行动先进县”、“2020年中国净水百佳县”等荣誉称号。</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9" w:name="_Toc8351"/>
      <w:bookmarkEnd w:id="9"/>
      <w:r>
        <w:rPr>
          <w:rFonts w:hint="eastAsia" w:ascii="黑体" w:hAnsi="黑体" w:eastAsia="黑体" w:cs="黑体"/>
          <w:b w:val="0"/>
          <w:bCs/>
          <w:sz w:val="32"/>
          <w:szCs w:val="32"/>
          <w:lang w:val="en-US" w:eastAsia="zh-CN"/>
        </w:rPr>
        <w:t>一、</w:t>
      </w:r>
      <w:r>
        <w:rPr>
          <w:rFonts w:hint="default" w:ascii="黑体" w:hAnsi="黑体" w:eastAsia="黑体" w:cs="黑体"/>
          <w:b w:val="0"/>
          <w:bCs/>
          <w:sz w:val="32"/>
          <w:szCs w:val="32"/>
          <w:lang w:val="en-US" w:eastAsia="zh-CN"/>
        </w:rPr>
        <w:t>行政区划</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z w:val="32"/>
          <w:szCs w:val="32"/>
          <w:lang w:val="en-US" w:eastAsia="zh-CN"/>
        </w:rPr>
        <w:t>兴安县</w:t>
      </w:r>
      <w:r>
        <w:rPr>
          <w:rFonts w:hint="default" w:ascii="Times New Roman" w:hAnsi="Times New Roman" w:eastAsia="仿宋_GB2312" w:cs="Times New Roman"/>
          <w:spacing w:val="6"/>
          <w:sz w:val="32"/>
          <w:szCs w:val="32"/>
          <w:lang w:val="en-US" w:eastAsia="zh-CN"/>
        </w:rPr>
        <w:t>下辖10个</w:t>
      </w:r>
      <w:r>
        <w:rPr>
          <w:rFonts w:hint="eastAsia" w:eastAsia="仿宋_GB2312" w:cs="Times New Roman"/>
          <w:spacing w:val="6"/>
          <w:sz w:val="32"/>
          <w:szCs w:val="32"/>
          <w:lang w:val="en-US" w:eastAsia="zh-CN"/>
        </w:rPr>
        <w:t>乡（镇）</w:t>
      </w:r>
      <w:r>
        <w:rPr>
          <w:rFonts w:hint="default" w:ascii="Times New Roman" w:hAnsi="Times New Roman" w:eastAsia="仿宋_GB2312" w:cs="Times New Roman"/>
          <w:spacing w:val="6"/>
          <w:sz w:val="32"/>
          <w:szCs w:val="32"/>
          <w:lang w:val="en-US" w:eastAsia="zh-CN"/>
        </w:rPr>
        <w:t>，其中建制镇6个，分别为兴安镇、界首镇、溶江镇、湘漓镇、高尚镇、严关镇，建制乡4个，分别为华江瑶族乡</w:t>
      </w:r>
      <w:r>
        <w:rPr>
          <w:rFonts w:hint="eastAsia" w:eastAsia="仿宋_GB2312" w:cs="Times New Roman"/>
          <w:spacing w:val="6"/>
          <w:sz w:val="32"/>
          <w:szCs w:val="32"/>
          <w:lang w:val="en-US" w:eastAsia="zh-CN"/>
        </w:rPr>
        <w:t>、</w:t>
      </w:r>
      <w:r>
        <w:rPr>
          <w:rFonts w:hint="default" w:ascii="Times New Roman" w:hAnsi="Times New Roman" w:eastAsia="仿宋_GB2312" w:cs="Times New Roman"/>
          <w:spacing w:val="6"/>
          <w:sz w:val="32"/>
          <w:szCs w:val="32"/>
          <w:lang w:val="en-US" w:eastAsia="zh-CN"/>
        </w:rPr>
        <w:t>崔家乡</w:t>
      </w:r>
      <w:r>
        <w:rPr>
          <w:rFonts w:hint="eastAsia" w:eastAsia="仿宋_GB2312" w:cs="Times New Roman"/>
          <w:spacing w:val="6"/>
          <w:sz w:val="32"/>
          <w:szCs w:val="32"/>
          <w:lang w:val="en-US" w:eastAsia="zh-CN"/>
        </w:rPr>
        <w:t>、</w:t>
      </w:r>
      <w:r>
        <w:rPr>
          <w:rFonts w:hint="default" w:ascii="Times New Roman" w:hAnsi="Times New Roman" w:eastAsia="仿宋_GB2312" w:cs="Times New Roman"/>
          <w:spacing w:val="6"/>
          <w:sz w:val="32"/>
          <w:szCs w:val="32"/>
          <w:lang w:val="en-US" w:eastAsia="zh-CN"/>
        </w:rPr>
        <w:t>漠川乡、白石乡，115个行政村，9个社区，1331个自然村。</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10" w:name="_Toc20717"/>
      <w:bookmarkEnd w:id="10"/>
      <w:r>
        <w:rPr>
          <w:rFonts w:hint="eastAsia" w:ascii="黑体" w:hAnsi="黑体" w:eastAsia="黑体" w:cs="黑体"/>
          <w:b w:val="0"/>
          <w:bCs/>
          <w:sz w:val="32"/>
          <w:szCs w:val="32"/>
          <w:lang w:val="en-US" w:eastAsia="zh-CN"/>
        </w:rPr>
        <w:t>二、</w:t>
      </w:r>
      <w:r>
        <w:rPr>
          <w:rFonts w:hint="default" w:ascii="黑体" w:hAnsi="黑体" w:eastAsia="黑体" w:cs="黑体"/>
          <w:b w:val="0"/>
          <w:bCs/>
          <w:sz w:val="32"/>
          <w:szCs w:val="32"/>
          <w:lang w:val="en-US" w:eastAsia="zh-CN"/>
        </w:rPr>
        <w:t>气候</w:t>
      </w:r>
    </w:p>
    <w:p>
      <w:pPr>
        <w:keepNext w:val="0"/>
        <w:keepLines w:val="0"/>
        <w:pageBreakBefore w:val="0"/>
        <w:widowControl w:val="0"/>
        <w:kinsoku/>
        <w:wordWrap w:val="0"/>
        <w:overflowPunct/>
        <w:topLinePunct w:val="0"/>
        <w:autoSpaceDE/>
        <w:autoSpaceDN/>
        <w:bidi w:val="0"/>
        <w:adjustRightInd w:val="0"/>
        <w:snapToGrid/>
        <w:spacing w:beforeAutospacing="0" w:afterAutospacing="0" w:line="62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兴安县境内地处北回归线附近，属中亚热带湿润季风气候区。气候特点：气温适宜，雨量充沛，日照时间长，积温多，有霜期短，四季分明。年平均气温为18.2℃，极端最低气温为-5.8℃，极端最高气温为39．1℃。平原地区年平均日照为l297.0小时，无霜期平均293天。年平均降雨量为l942．9mm，年平均降雨在180天左右，年平均相对湿度为79％。年风向频率最多为东北风，平均风速为2.1米／秒。</w:t>
      </w:r>
    </w:p>
    <w:p>
      <w:pPr>
        <w:keepNext w:val="0"/>
        <w:keepLines w:val="0"/>
        <w:pageBreakBefore w:val="0"/>
        <w:widowControl w:val="0"/>
        <w:kinsoku/>
        <w:wordWrap w:val="0"/>
        <w:overflowPunct/>
        <w:topLinePunct w:val="0"/>
        <w:autoSpaceDE/>
        <w:autoSpaceDN/>
        <w:bidi w:val="0"/>
        <w:adjustRightInd w:val="0"/>
        <w:snapToGrid/>
        <w:spacing w:beforeAutospacing="0" w:afterAutospacing="0" w:line="62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季特征为：春季，冷暖空气交替频繁，常造成长时间低温阴雨天气，暴雨平均每年出现2.4次；夏季，湿度、温度增加，雨量适中；秋天天气晴朗，少雨，昼夜温差大，寒露风天气最早出现于9月11日，最晚出现于10月12日，平均出现于10月2日； “小雪”之后即进入冬季，西伯利亚高压增强，冬季寒潮开始南下，气温急剧下降，雨量少。主要灾害性天气有暴雨、旱灾、倒春寒、大风、寒露风、冰灾、低温阴雨等。</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11" w:name="_Toc29268"/>
      <w:bookmarkEnd w:id="11"/>
      <w:r>
        <w:rPr>
          <w:rFonts w:hint="eastAsia" w:ascii="黑体" w:hAnsi="黑体" w:eastAsia="黑体" w:cs="黑体"/>
          <w:b w:val="0"/>
          <w:bCs/>
          <w:sz w:val="32"/>
          <w:szCs w:val="32"/>
          <w:lang w:val="en-US" w:eastAsia="zh-CN"/>
        </w:rPr>
        <w:t>三、</w:t>
      </w:r>
      <w:r>
        <w:rPr>
          <w:rFonts w:hint="default" w:ascii="黑体" w:hAnsi="黑体" w:eastAsia="黑体" w:cs="黑体"/>
          <w:b w:val="0"/>
          <w:bCs/>
          <w:sz w:val="32"/>
          <w:szCs w:val="32"/>
          <w:lang w:val="en-US" w:eastAsia="zh-CN"/>
        </w:rPr>
        <w:t>农作物种植情况</w:t>
      </w:r>
    </w:p>
    <w:p>
      <w:pPr>
        <w:keepNext w:val="0"/>
        <w:keepLines w:val="0"/>
        <w:pageBreakBefore w:val="0"/>
        <w:widowControl w:val="0"/>
        <w:kinsoku/>
        <w:wordWrap w:val="0"/>
        <w:overflowPunct/>
        <w:topLinePunct w:val="0"/>
        <w:autoSpaceDE/>
        <w:autoSpaceDN/>
        <w:bidi w:val="0"/>
        <w:adjustRightInd w:val="0"/>
        <w:snapToGrid/>
        <w:spacing w:beforeAutospacing="0" w:afterAutospacing="0" w:line="62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兴安县主要种植农作物为水稻、玉米，部分地区种植小麦、高粱以及其他谷物等；截至2021年底统计，水稻种植面积19155公顷，玉米种植面积4743公顷，小麦种植面积124公顷，高粱种植面积238公顷，其他谷物种植133公顷。</w:t>
      </w:r>
    </w:p>
    <w:p>
      <w:pPr>
        <w:keepNext w:val="0"/>
        <w:keepLines w:val="0"/>
        <w:pageBreakBefore w:val="0"/>
        <w:widowControl w:val="0"/>
        <w:kinsoku/>
        <w:wordWrap w:val="0"/>
        <w:overflowPunct/>
        <w:topLinePunct w:val="0"/>
        <w:autoSpaceDE/>
        <w:autoSpaceDN/>
        <w:bidi w:val="0"/>
        <w:adjustRightInd w:val="0"/>
        <w:snapToGrid/>
        <w:spacing w:beforeAutospacing="0" w:afterAutospacing="0" w:line="62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p>
    <w:p>
      <w:pPr>
        <w:pStyle w:val="3"/>
        <w:keepNext w:val="0"/>
        <w:keepLines w:val="0"/>
        <w:pageBreakBefore w:val="0"/>
        <w:widowControl w:val="0"/>
        <w:kinsoku/>
        <w:wordWrap w:val="0"/>
        <w:overflowPunct/>
        <w:topLinePunct w:val="0"/>
        <w:autoSpaceDE/>
        <w:autoSpaceDN/>
        <w:bidi w:val="0"/>
        <w:adjustRightInd w:val="0"/>
        <w:snapToGrid/>
        <w:spacing w:before="0" w:beforeAutospacing="0" w:after="0" w:afterAutospacing="0" w:line="626" w:lineRule="exact"/>
        <w:ind w:left="0" w:leftChars="0" w:firstLine="0" w:firstLineChars="0"/>
        <w:jc w:val="center"/>
        <w:textAlignment w:val="auto"/>
        <w:rPr>
          <w:rFonts w:hint="eastAsia" w:ascii="黑体" w:hAnsi="黑体" w:eastAsia="黑体" w:cs="黑体"/>
          <w:b w:val="0"/>
          <w:bCs/>
          <w:sz w:val="36"/>
          <w:szCs w:val="36"/>
          <w:lang w:val="en-US" w:eastAsia="zh-CN"/>
        </w:rPr>
      </w:pPr>
      <w:bookmarkStart w:id="12" w:name="_Toc10140"/>
      <w:bookmarkEnd w:id="12"/>
      <w:r>
        <w:rPr>
          <w:rFonts w:hint="eastAsia" w:ascii="黑体" w:hAnsi="黑体" w:eastAsia="黑体" w:cs="黑体"/>
          <w:b w:val="0"/>
          <w:bCs/>
          <w:sz w:val="36"/>
          <w:szCs w:val="36"/>
          <w:lang w:eastAsia="zh-CN"/>
        </w:rPr>
        <w:t>第</w:t>
      </w:r>
      <w:r>
        <w:rPr>
          <w:rFonts w:hint="eastAsia" w:ascii="黑体" w:hAnsi="黑体" w:eastAsia="黑体" w:cs="黑体"/>
          <w:b w:val="0"/>
          <w:bCs/>
          <w:sz w:val="36"/>
          <w:szCs w:val="36"/>
          <w:lang w:val="en-US" w:eastAsia="zh-CN"/>
        </w:rPr>
        <w:t>三</w:t>
      </w:r>
      <w:r>
        <w:rPr>
          <w:rFonts w:hint="eastAsia" w:ascii="黑体" w:hAnsi="黑体" w:eastAsia="黑体" w:cs="黑体"/>
          <w:b w:val="0"/>
          <w:bCs/>
          <w:sz w:val="36"/>
          <w:szCs w:val="36"/>
          <w:lang w:eastAsia="zh-CN"/>
        </w:rPr>
        <w:t>章</w:t>
      </w:r>
      <w:r>
        <w:rPr>
          <w:rFonts w:hint="eastAsia" w:ascii="黑体" w:hAnsi="黑体" w:eastAsia="黑体" w:cs="黑体"/>
          <w:b w:val="0"/>
          <w:bCs/>
          <w:sz w:val="36"/>
          <w:szCs w:val="36"/>
          <w:lang w:val="en-US" w:eastAsia="zh-CN"/>
        </w:rPr>
        <w:t xml:space="preserve">  禁烧区与限烧区范围划定</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Times New Roman" w:hAnsi="Times New Roman" w:eastAsia="仿宋_GB2312" w:cs="Times New Roman"/>
          <w:sz w:val="32"/>
          <w:szCs w:val="32"/>
          <w:lang w:val="en-US"/>
        </w:rPr>
      </w:pPr>
      <w:bookmarkStart w:id="13" w:name="_Toc27135"/>
      <w:bookmarkEnd w:id="13"/>
      <w:r>
        <w:rPr>
          <w:rFonts w:hint="eastAsia" w:ascii="黑体" w:hAnsi="黑体" w:eastAsia="黑体" w:cs="黑体"/>
          <w:b w:val="0"/>
          <w:bCs/>
          <w:sz w:val="32"/>
          <w:szCs w:val="32"/>
          <w:lang w:val="en-US" w:eastAsia="zh-CN"/>
        </w:rPr>
        <w:t>一、</w:t>
      </w:r>
      <w:r>
        <w:rPr>
          <w:rFonts w:hint="default" w:ascii="黑体" w:hAnsi="黑体" w:eastAsia="黑体" w:cs="黑体"/>
          <w:b w:val="0"/>
          <w:bCs/>
          <w:sz w:val="32"/>
          <w:szCs w:val="32"/>
          <w:lang w:val="en-US" w:eastAsia="zh-CN"/>
        </w:rPr>
        <w:t>划定要求</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w:t>
      </w:r>
      <w:r>
        <w:rPr>
          <w:rFonts w:hint="default" w:ascii="楷体_GB2312" w:hAnsi="楷体_GB2312" w:eastAsia="楷体_GB2312" w:cs="楷体_GB2312"/>
          <w:sz w:val="32"/>
          <w:szCs w:val="32"/>
          <w:lang w:val="en-US" w:eastAsia="zh-CN"/>
        </w:rPr>
        <w:t>禁止露天焚烧的种类</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1．秸秆：包括玉米、水稻、薯类、油料、棉花、甘蔗叶等农作物收获籽实后剩余的物质。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2．工业垃圾：包</w:t>
      </w:r>
      <w:r>
        <w:rPr>
          <w:rFonts w:hint="default" w:ascii="Times New Roman" w:hAnsi="Times New Roman" w:eastAsia="仿宋_GB2312" w:cs="Times New Roman"/>
          <w:sz w:val="32"/>
          <w:szCs w:val="32"/>
          <w:lang w:val="en-US" w:eastAsia="zh-CN"/>
        </w:rPr>
        <w:t xml:space="preserve">括废弃纸制品、废塑料、破布及各种纺织品、废橡胶、破皮革制品、废木材及木制品等。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 xml:space="preserve">生活垃圾。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其他：田间地头杂草、荒草、林下附植物及树木砍伐后的树根、树枝等（松材线虫病除治除外）。</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w:t>
      </w:r>
      <w:r>
        <w:rPr>
          <w:rFonts w:hint="default" w:ascii="楷体_GB2312" w:hAnsi="楷体_GB2312" w:eastAsia="楷体_GB2312" w:cs="楷体_GB2312"/>
          <w:sz w:val="32"/>
          <w:szCs w:val="32"/>
          <w:lang w:val="en-US" w:eastAsia="zh-CN"/>
        </w:rPr>
        <w:t>禁烧区划定</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通过现场调研收集基础数据，并结合</w:t>
      </w:r>
      <w:r>
        <w:rPr>
          <w:rFonts w:hint="default" w:ascii="Times New Roman" w:hAnsi="Times New Roman" w:eastAsia="仿宋_GB2312" w:cs="Times New Roman"/>
          <w:sz w:val="32"/>
          <w:szCs w:val="32"/>
          <w:lang w:eastAsia="zh-CN"/>
        </w:rPr>
        <w:t>兴安县</w:t>
      </w:r>
      <w:r>
        <w:rPr>
          <w:rFonts w:hint="default" w:ascii="Times New Roman" w:hAnsi="Times New Roman" w:eastAsia="仿宋_GB2312" w:cs="Times New Roman"/>
          <w:sz w:val="32"/>
          <w:szCs w:val="32"/>
        </w:rPr>
        <w:t>实际情况，</w:t>
      </w:r>
      <w:r>
        <w:rPr>
          <w:rFonts w:hint="default" w:ascii="Times New Roman" w:hAnsi="Times New Roman" w:eastAsia="仿宋_GB2312" w:cs="Times New Roman"/>
          <w:sz w:val="32"/>
          <w:szCs w:val="32"/>
          <w:lang w:val="en-US" w:eastAsia="zh-CN"/>
        </w:rPr>
        <w:t>依据相关规定，</w:t>
      </w:r>
      <w:r>
        <w:rPr>
          <w:rFonts w:hint="default" w:ascii="Times New Roman" w:hAnsi="Times New Roman" w:eastAsia="仿宋_GB2312" w:cs="Times New Roman"/>
          <w:sz w:val="32"/>
          <w:szCs w:val="32"/>
        </w:rPr>
        <w:t>划定</w:t>
      </w:r>
      <w:r>
        <w:rPr>
          <w:rFonts w:hint="default" w:ascii="Times New Roman" w:hAnsi="Times New Roman" w:eastAsia="仿宋_GB2312" w:cs="Times New Roman"/>
          <w:sz w:val="32"/>
          <w:szCs w:val="32"/>
          <w:lang w:eastAsia="zh-CN"/>
        </w:rPr>
        <w:t>兴安县</w:t>
      </w:r>
      <w:r>
        <w:rPr>
          <w:rFonts w:hint="default" w:ascii="Times New Roman" w:hAnsi="Times New Roman" w:eastAsia="仿宋_GB2312" w:cs="Times New Roman"/>
          <w:sz w:val="32"/>
          <w:szCs w:val="32"/>
        </w:rPr>
        <w:t>秸秆禁烧区，详细划定如下：</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val="en-US" w:eastAsia="zh-CN"/>
        </w:rPr>
        <w:t>县城</w:t>
      </w:r>
      <w:r>
        <w:rPr>
          <w:rFonts w:hint="default" w:ascii="Times New Roman" w:hAnsi="Times New Roman" w:eastAsia="仿宋_GB2312" w:cs="Times New Roman"/>
          <w:sz w:val="32"/>
          <w:szCs w:val="32"/>
        </w:rPr>
        <w:t>建成区外围主导上风向</w:t>
      </w:r>
      <w:r>
        <w:rPr>
          <w:rFonts w:hint="default"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15公里</w:t>
      </w:r>
      <w:r>
        <w:rPr>
          <w:rFonts w:hint="default" w:ascii="Times New Roman" w:hAnsi="Times New Roman" w:eastAsia="仿宋_GB2312" w:cs="Times New Roman"/>
          <w:sz w:val="32"/>
          <w:szCs w:val="32"/>
          <w:lang w:val="en-US" w:eastAsia="zh-CN"/>
        </w:rPr>
        <w:t>范围内</w:t>
      </w:r>
      <w:r>
        <w:rPr>
          <w:rFonts w:hint="default" w:ascii="Times New Roman" w:hAnsi="Times New Roman" w:eastAsia="仿宋_GB2312" w:cs="Times New Roman"/>
          <w:sz w:val="32"/>
          <w:szCs w:val="32"/>
        </w:rPr>
        <w:t>，主导下风向</w:t>
      </w:r>
      <w:r>
        <w:rPr>
          <w:rFonts w:hint="default"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10公里</w:t>
      </w:r>
      <w:r>
        <w:rPr>
          <w:rFonts w:hint="default" w:ascii="Times New Roman" w:hAnsi="Times New Roman" w:eastAsia="仿宋_GB2312" w:cs="Times New Roman"/>
          <w:sz w:val="32"/>
          <w:szCs w:val="32"/>
          <w:lang w:val="en-US" w:eastAsia="zh-CN"/>
        </w:rPr>
        <w:t>范围内的区域</w:t>
      </w:r>
      <w:r>
        <w:rPr>
          <w:rFonts w:hint="default" w:ascii="Times New Roman" w:hAnsi="Times New Roman" w:eastAsia="仿宋_GB2312" w:cs="Times New Roman"/>
          <w:sz w:val="32"/>
          <w:szCs w:val="32"/>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高速公路、</w:t>
      </w:r>
      <w:r>
        <w:rPr>
          <w:rFonts w:hint="default" w:ascii="Times New Roman" w:hAnsi="Times New Roman" w:eastAsia="仿宋_GB2312" w:cs="Times New Roman"/>
          <w:sz w:val="32"/>
          <w:szCs w:val="32"/>
          <w:lang w:val="en-US" w:eastAsia="zh-CN"/>
        </w:rPr>
        <w:t>铁路</w:t>
      </w:r>
      <w:r>
        <w:rPr>
          <w:rFonts w:hint="default" w:ascii="Times New Roman" w:hAnsi="Times New Roman" w:eastAsia="仿宋_GB2312" w:cs="Times New Roman"/>
          <w:sz w:val="32"/>
          <w:szCs w:val="32"/>
          <w:lang w:eastAsia="zh-CN"/>
        </w:rPr>
        <w:t>沿线两侧2公里</w:t>
      </w:r>
      <w:r>
        <w:rPr>
          <w:rFonts w:hint="default" w:ascii="Times New Roman" w:hAnsi="Times New Roman" w:eastAsia="仿宋_GB2312" w:cs="Times New Roman"/>
          <w:sz w:val="32"/>
          <w:szCs w:val="32"/>
          <w:lang w:val="en-US" w:eastAsia="zh-CN"/>
        </w:rPr>
        <w:t>范围内的区域</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3</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国道、省道公路干线</w:t>
      </w:r>
      <w:r>
        <w:rPr>
          <w:rFonts w:hint="default" w:ascii="Times New Roman" w:hAnsi="Times New Roman" w:eastAsia="仿宋_GB2312" w:cs="Times New Roman"/>
          <w:sz w:val="32"/>
          <w:szCs w:val="32"/>
          <w:lang w:eastAsia="zh-CN"/>
        </w:rPr>
        <w:t>两侧</w:t>
      </w:r>
      <w:r>
        <w:rPr>
          <w:rFonts w:hint="default" w:ascii="Times New Roman" w:hAnsi="Times New Roman" w:eastAsia="仿宋_GB2312" w:cs="Times New Roman"/>
          <w:sz w:val="32"/>
          <w:szCs w:val="32"/>
          <w:lang w:val="en-US" w:eastAsia="zh-CN"/>
        </w:rPr>
        <w:t>各1</w:t>
      </w:r>
      <w:r>
        <w:rPr>
          <w:rFonts w:hint="default" w:ascii="Times New Roman" w:hAnsi="Times New Roman" w:eastAsia="仿宋_GB2312" w:cs="Times New Roman"/>
          <w:sz w:val="32"/>
          <w:szCs w:val="32"/>
          <w:lang w:eastAsia="zh-CN"/>
        </w:rPr>
        <w:t>公里</w:t>
      </w:r>
      <w:r>
        <w:rPr>
          <w:rFonts w:hint="default" w:ascii="Times New Roman" w:hAnsi="Times New Roman" w:eastAsia="仿宋_GB2312" w:cs="Times New Roman"/>
          <w:sz w:val="32"/>
          <w:szCs w:val="32"/>
          <w:lang w:val="en-US" w:eastAsia="zh-CN"/>
        </w:rPr>
        <w:t>范围内的区域</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4</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机场周围外延不少于15</w:t>
      </w:r>
      <w:r>
        <w:rPr>
          <w:rFonts w:hint="default" w:ascii="Times New Roman" w:hAnsi="Times New Roman" w:eastAsia="仿宋_GB2312" w:cs="Times New Roman"/>
          <w:sz w:val="32"/>
          <w:szCs w:val="32"/>
          <w:lang w:eastAsia="zh-CN"/>
        </w:rPr>
        <w:t>公里</w:t>
      </w:r>
      <w:r>
        <w:rPr>
          <w:rFonts w:hint="default" w:ascii="Times New Roman" w:hAnsi="Times New Roman" w:eastAsia="仿宋_GB2312" w:cs="Times New Roman"/>
          <w:sz w:val="32"/>
          <w:szCs w:val="32"/>
          <w:lang w:val="en-US" w:eastAsia="zh-CN"/>
        </w:rPr>
        <w:t>范围内的区域</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各级自然保护区、风景名胜区、文物保护单位、林地、草场、油库、粮库、高压输电线路、通讯设施等周围1公里以内的区域。</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val="en-US" w:eastAsia="zh-CN"/>
        </w:rPr>
        <w:t>林地边缘外延1公里范围内的区域</w:t>
      </w:r>
      <w:r>
        <w:rPr>
          <w:rFonts w:hint="default" w:ascii="Times New Roman" w:hAnsi="Times New Roman" w:eastAsia="仿宋_GB2312" w:cs="Times New Roman"/>
          <w:sz w:val="32"/>
          <w:szCs w:val="32"/>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val="en-US" w:eastAsia="zh-CN"/>
        </w:rPr>
        <w:t>法律、法规及规范性文件规定的其他禁止露天焚烧秸秆的区域。</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w:t>
      </w:r>
      <w:r>
        <w:rPr>
          <w:rFonts w:hint="default" w:ascii="楷体_GB2312" w:hAnsi="楷体_GB2312" w:eastAsia="楷体_GB2312" w:cs="楷体_GB2312"/>
          <w:sz w:val="32"/>
          <w:szCs w:val="32"/>
          <w:lang w:val="en-US" w:eastAsia="zh-CN"/>
        </w:rPr>
        <w:t>限烧区划定</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秸秆禁烧区以外的农作物生产区边界为秸秆限烧区。</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w:t>
      </w:r>
      <w:r>
        <w:rPr>
          <w:rFonts w:hint="default" w:ascii="楷体_GB2312" w:hAnsi="楷体_GB2312" w:eastAsia="楷体_GB2312" w:cs="楷体_GB2312"/>
          <w:sz w:val="32"/>
          <w:szCs w:val="32"/>
          <w:lang w:val="en-US" w:eastAsia="zh-CN"/>
        </w:rPr>
        <w:t>禁烧区和限烧区边界及基础信息核定原则</w:t>
      </w:r>
    </w:p>
    <w:p>
      <w:pPr>
        <w:keepNext w:val="0"/>
        <w:keepLines w:val="0"/>
        <w:pageBreakBefore w:val="0"/>
        <w:widowControl w:val="0"/>
        <w:numPr>
          <w:ilvl w:val="0"/>
          <w:numId w:val="0"/>
        </w:numPr>
        <w:kinsoku/>
        <w:wordWrap w:val="0"/>
        <w:overflowPunct/>
        <w:topLinePunct w:val="0"/>
        <w:autoSpaceDE/>
        <w:autoSpaceDN/>
        <w:bidi w:val="0"/>
        <w:adjustRightInd w:val="0"/>
        <w:snapToGrid/>
        <w:spacing w:beforeAutospacing="0" w:afterAutospacing="0" w:line="586"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与土地利用相协调，结合山脉、河流、地貌单元、植被等要素保留自然地理边界，保持森林、农田、草地、湿地、河流等生态系统的完整性（在秸秆禁烧区范围内包含河流的，以秸秆禁烧区外围为边界；秸秆禁烧区横跨河流的，以河流为边界；秸秆禁烧区包含山区或者丘陵的，以山脊为边界）。</w:t>
      </w:r>
    </w:p>
    <w:p>
      <w:pPr>
        <w:keepNext w:val="0"/>
        <w:keepLines w:val="0"/>
        <w:pageBreakBefore w:val="0"/>
        <w:widowControl w:val="0"/>
        <w:numPr>
          <w:ilvl w:val="0"/>
          <w:numId w:val="0"/>
        </w:numPr>
        <w:kinsoku/>
        <w:wordWrap w:val="0"/>
        <w:overflowPunct/>
        <w:topLinePunct w:val="0"/>
        <w:autoSpaceDE/>
        <w:autoSpaceDN/>
        <w:bidi w:val="0"/>
        <w:adjustRightInd w:val="0"/>
        <w:snapToGrid/>
        <w:spacing w:beforeAutospacing="0" w:afterAutospacing="0" w:line="586"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根据秸秆禁烧区和限烧区分布图开展勘查，调查秸秆禁烧区和限烧区内各类基础信息，包括所处的行政区域和地理信息、面积、边界点坐标等，进一步查明分布图上难以明确界定或具有争议性的边界，确定边界拐点地理坐标。</w:t>
      </w:r>
    </w:p>
    <w:p>
      <w:pPr>
        <w:keepNext w:val="0"/>
        <w:keepLines w:val="0"/>
        <w:pageBreakBefore w:val="0"/>
        <w:widowControl w:val="0"/>
        <w:numPr>
          <w:ilvl w:val="0"/>
          <w:numId w:val="0"/>
        </w:numPr>
        <w:kinsoku/>
        <w:wordWrap w:val="0"/>
        <w:overflowPunct/>
        <w:topLinePunct w:val="0"/>
        <w:autoSpaceDE/>
        <w:autoSpaceDN/>
        <w:bidi w:val="0"/>
        <w:adjustRightInd w:val="0"/>
        <w:snapToGrid/>
        <w:spacing w:beforeAutospacing="0" w:afterAutospacing="0" w:line="586" w:lineRule="exact"/>
        <w:ind w:left="0" w:leftChars="0" w:firstLine="640" w:firstLineChars="200"/>
        <w:jc w:val="both"/>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z w:val="32"/>
          <w:szCs w:val="32"/>
          <w:lang w:val="en-US" w:eastAsia="zh-CN"/>
        </w:rPr>
        <w:t>3．根据秸秆禁烧</w:t>
      </w:r>
      <w:r>
        <w:rPr>
          <w:rFonts w:hint="default" w:ascii="Times New Roman" w:hAnsi="Times New Roman" w:eastAsia="仿宋_GB2312" w:cs="Times New Roman"/>
          <w:sz w:val="32"/>
          <w:szCs w:val="32"/>
          <w:lang w:val="en-US" w:eastAsia="zh-CN"/>
        </w:rPr>
        <w:t>区和限烧区的地面勘查结果，在分布图上修</w:t>
      </w:r>
      <w:r>
        <w:rPr>
          <w:rFonts w:hint="default" w:ascii="Times New Roman" w:hAnsi="Times New Roman" w:eastAsia="仿宋_GB2312" w:cs="Times New Roman"/>
          <w:spacing w:val="6"/>
          <w:sz w:val="32"/>
          <w:szCs w:val="32"/>
          <w:lang w:val="en-US" w:eastAsia="zh-CN"/>
        </w:rPr>
        <w:t>订秸秆禁烧区和限烧区边界，形成秸秆禁烧区和限烧区勘测定界图。</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14" w:name="_Toc12306"/>
      <w:bookmarkEnd w:id="14"/>
      <w:r>
        <w:rPr>
          <w:rFonts w:hint="eastAsia" w:ascii="黑体" w:hAnsi="黑体" w:eastAsia="黑体" w:cs="黑体"/>
          <w:b w:val="0"/>
          <w:bCs/>
          <w:sz w:val="32"/>
          <w:szCs w:val="32"/>
          <w:lang w:val="en-US" w:eastAsia="zh-CN"/>
        </w:rPr>
        <w:t>二、</w:t>
      </w:r>
      <w:r>
        <w:rPr>
          <w:rFonts w:hint="default" w:ascii="黑体" w:hAnsi="黑体" w:eastAsia="黑体" w:cs="黑体"/>
          <w:b w:val="0"/>
          <w:bCs/>
          <w:sz w:val="32"/>
          <w:szCs w:val="32"/>
          <w:lang w:val="en-US" w:eastAsia="zh-CN"/>
        </w:rPr>
        <w:t xml:space="preserve">禁烧区与限烧区范围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w:t>
      </w:r>
      <w:r>
        <w:rPr>
          <w:rFonts w:hint="default" w:ascii="楷体_GB2312" w:hAnsi="楷体_GB2312" w:eastAsia="楷体_GB2312" w:cs="楷体_GB2312"/>
          <w:sz w:val="32"/>
          <w:szCs w:val="32"/>
          <w:lang w:val="en-US" w:eastAsia="zh-CN"/>
        </w:rPr>
        <w:t xml:space="preserve">禁烧区范围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兴安县涉及2条高速公路（呼北高速、全兴高速）；2条铁路线（衡柳线、湘桂线）；1条国道G322；1条省道S202；1个通用机场；</w:t>
      </w:r>
      <w:r>
        <w:rPr>
          <w:rFonts w:hint="eastAsia" w:eastAsia="仿宋_GB2312" w:cs="Times New Roman"/>
          <w:color w:val="auto"/>
          <w:sz w:val="32"/>
          <w:szCs w:val="32"/>
          <w:highlight w:val="none"/>
          <w:lang w:val="en-US" w:eastAsia="zh-CN"/>
        </w:rPr>
        <w:t>无</w:t>
      </w:r>
      <w:r>
        <w:rPr>
          <w:rFonts w:hint="default" w:ascii="Times New Roman" w:hAnsi="Times New Roman" w:eastAsia="仿宋_GB2312" w:cs="Times New Roman"/>
          <w:color w:val="auto"/>
          <w:sz w:val="32"/>
          <w:szCs w:val="32"/>
          <w:highlight w:val="none"/>
          <w:lang w:val="en-US" w:eastAsia="zh-CN"/>
        </w:rPr>
        <w:t>特殊区域。结合东北风为主导风向，划定兴安县秸秆露天禁烧区。</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yellow"/>
          <w:lang w:val="en-US" w:eastAsia="zh-CN"/>
        </w:rPr>
      </w:pPr>
      <w:r>
        <w:rPr>
          <w:rFonts w:hint="default" w:ascii="Times New Roman" w:hAnsi="Times New Roman" w:eastAsia="仿宋_GB2312" w:cs="Times New Roman"/>
          <w:color w:val="auto"/>
          <w:sz w:val="32"/>
          <w:szCs w:val="32"/>
          <w:highlight w:val="none"/>
          <w:lang w:val="en-US" w:eastAsia="zh-CN"/>
        </w:rPr>
        <w:t>禁烧区域涉及5个</w:t>
      </w:r>
      <w:r>
        <w:rPr>
          <w:rFonts w:hint="eastAsia" w:eastAsia="仿宋_GB2312" w:cs="Times New Roman"/>
          <w:color w:val="auto"/>
          <w:sz w:val="32"/>
          <w:szCs w:val="32"/>
          <w:highlight w:val="none"/>
          <w:lang w:val="en-US" w:eastAsia="zh-CN"/>
        </w:rPr>
        <w:t>乡（镇）</w:t>
      </w:r>
      <w:r>
        <w:rPr>
          <w:rFonts w:hint="default" w:ascii="Times New Roman" w:hAnsi="Times New Roman" w:eastAsia="仿宋_GB2312" w:cs="Times New Roman"/>
          <w:color w:val="auto"/>
          <w:sz w:val="32"/>
          <w:szCs w:val="32"/>
          <w:highlight w:val="none"/>
          <w:lang w:val="en-US" w:eastAsia="zh-CN"/>
        </w:rPr>
        <w:t>全域（兴安镇、界首镇、湘漓镇</w:t>
      </w:r>
      <w:r>
        <w:rPr>
          <w:rFonts w:hint="eastAsia"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严关镇、崔家乡），涉及5个</w:t>
      </w:r>
      <w:r>
        <w:rPr>
          <w:rFonts w:hint="eastAsia" w:eastAsia="仿宋_GB2312" w:cs="Times New Roman"/>
          <w:color w:val="auto"/>
          <w:sz w:val="32"/>
          <w:szCs w:val="32"/>
          <w:highlight w:val="none"/>
          <w:lang w:val="en-US" w:eastAsia="zh-CN"/>
        </w:rPr>
        <w:t>乡（镇）</w:t>
      </w:r>
      <w:r>
        <w:rPr>
          <w:rFonts w:hint="default" w:ascii="Times New Roman" w:hAnsi="Times New Roman" w:eastAsia="仿宋_GB2312" w:cs="Times New Roman"/>
          <w:color w:val="auto"/>
          <w:sz w:val="32"/>
          <w:szCs w:val="32"/>
          <w:highlight w:val="none"/>
          <w:lang w:val="en-US" w:eastAsia="zh-CN"/>
        </w:rPr>
        <w:t>部分区域（溶江镇、高尚镇、华江瑶族乡、漠川乡、白石乡）；</w:t>
      </w:r>
      <w:r>
        <w:rPr>
          <w:rFonts w:hint="default" w:ascii="Times New Roman" w:hAnsi="Times New Roman" w:eastAsia="仿宋_GB2312" w:cs="Times New Roman"/>
          <w:sz w:val="32"/>
          <w:szCs w:val="32"/>
          <w:highlight w:val="none"/>
          <w:lang w:val="en-US" w:eastAsia="zh-CN"/>
        </w:rPr>
        <w:t>共计122个行政单元，其中包含1个居委会，74个行政村（涉及全域），41个行政村（涉及部分），7个非国有林场（兴安镇小头岭林场、兴安镇半冲林场</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界首白面江林场、界首白花岭林场、溶江五爪山林场、溶江路蓬江林场、漠川协兴林场）；</w:t>
      </w:r>
      <w:r>
        <w:rPr>
          <w:rFonts w:hint="default" w:ascii="Times New Roman" w:hAnsi="Times New Roman" w:eastAsia="仿宋_GB2312" w:cs="Times New Roman"/>
          <w:color w:val="auto"/>
          <w:sz w:val="32"/>
          <w:szCs w:val="32"/>
          <w:highlight w:val="none"/>
          <w:lang w:val="en-US" w:eastAsia="zh-CN"/>
        </w:rPr>
        <w:t>涉及1个国有林场（摩天岭林场）；涉及高速公路2条（呼北高速、全兴高速）、铁路线2条（衡柳线、湘桂线）、国道1条G322、省道1条S202；涉及通用机场1个；涉及国家级自然保护区1个（猫儿山</w:t>
      </w:r>
      <w:r>
        <w:rPr>
          <w:rFonts w:hint="eastAsia" w:eastAsia="仿宋_GB2312" w:cs="Times New Roman"/>
          <w:color w:val="auto"/>
          <w:sz w:val="32"/>
          <w:szCs w:val="32"/>
          <w:highlight w:val="none"/>
          <w:lang w:val="en-US" w:eastAsia="zh-CN"/>
        </w:rPr>
        <w:t>国家级自然保护区</w:t>
      </w:r>
      <w:r>
        <w:rPr>
          <w:rFonts w:hint="default" w:ascii="Times New Roman" w:hAnsi="Times New Roman" w:eastAsia="仿宋_GB2312" w:cs="Times New Roman"/>
          <w:color w:val="auto"/>
          <w:sz w:val="32"/>
          <w:szCs w:val="32"/>
          <w:highlight w:val="none"/>
          <w:lang w:val="en-US" w:eastAsia="zh-CN"/>
        </w:rPr>
        <w:t>）、自治区级自然保护区1个（海洋山</w:t>
      </w:r>
      <w:r>
        <w:rPr>
          <w:rFonts w:hint="eastAsia" w:eastAsia="仿宋_GB2312" w:cs="Times New Roman"/>
          <w:color w:val="auto"/>
          <w:sz w:val="32"/>
          <w:szCs w:val="32"/>
          <w:highlight w:val="none"/>
          <w:lang w:val="en-US" w:eastAsia="zh-CN"/>
        </w:rPr>
        <w:t>自治区级自然保护区</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（详见附图1 、附表1）</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路网禁烧区域为兴安县境内的2条高速公路（</w:t>
      </w:r>
      <w:r>
        <w:rPr>
          <w:rFonts w:hint="default" w:ascii="Times New Roman" w:hAnsi="Times New Roman" w:eastAsia="仿宋_GB2312" w:cs="Times New Roman"/>
          <w:color w:val="auto"/>
          <w:sz w:val="32"/>
          <w:szCs w:val="32"/>
          <w:highlight w:val="none"/>
          <w:lang w:val="en-US" w:eastAsia="zh-CN"/>
        </w:rPr>
        <w:t>呼北高速、全兴高速</w:t>
      </w:r>
      <w:r>
        <w:rPr>
          <w:rFonts w:hint="default" w:ascii="Times New Roman" w:hAnsi="Times New Roman" w:eastAsia="仿宋_GB2312" w:cs="Times New Roman"/>
          <w:sz w:val="32"/>
          <w:szCs w:val="32"/>
          <w:highlight w:val="none"/>
          <w:lang w:val="en-US" w:eastAsia="zh-CN"/>
        </w:rPr>
        <w:t>），2条铁路线（</w:t>
      </w:r>
      <w:r>
        <w:rPr>
          <w:rFonts w:hint="default" w:ascii="Times New Roman" w:hAnsi="Times New Roman" w:eastAsia="仿宋_GB2312" w:cs="Times New Roman"/>
          <w:color w:val="auto"/>
          <w:sz w:val="32"/>
          <w:szCs w:val="32"/>
          <w:highlight w:val="none"/>
          <w:lang w:val="en-US" w:eastAsia="zh-CN"/>
        </w:rPr>
        <w:t>衡柳线、湘桂线</w:t>
      </w:r>
      <w:r>
        <w:rPr>
          <w:rFonts w:hint="default" w:ascii="Times New Roman" w:hAnsi="Times New Roman" w:eastAsia="仿宋_GB2312" w:cs="Times New Roman"/>
          <w:sz w:val="32"/>
          <w:szCs w:val="32"/>
          <w:highlight w:val="none"/>
          <w:lang w:val="en-US" w:eastAsia="zh-CN"/>
        </w:rPr>
        <w:t>）沿线两侧各2公里范围区域，国道G322、省道S202公路干线两侧各1公里范围区域（详见附图2）。</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县城建成区为县人民政府所在地兴安镇建成区及周边紧密相连的湘漓镇建成区</w:t>
      </w:r>
      <w:r>
        <w:rPr>
          <w:rFonts w:hint="default" w:ascii="Times New Roman" w:hAnsi="Times New Roman" w:eastAsia="仿宋_GB2312" w:cs="Times New Roman"/>
          <w:sz w:val="32"/>
          <w:szCs w:val="32"/>
        </w:rPr>
        <w:t>外围主导上风向15公里</w:t>
      </w:r>
      <w:r>
        <w:rPr>
          <w:rFonts w:hint="default" w:ascii="Times New Roman" w:hAnsi="Times New Roman" w:eastAsia="仿宋_GB2312" w:cs="Times New Roman"/>
          <w:sz w:val="32"/>
          <w:szCs w:val="32"/>
          <w:lang w:val="en-US" w:eastAsia="zh-CN"/>
        </w:rPr>
        <w:t>范围内</w:t>
      </w:r>
      <w:r>
        <w:rPr>
          <w:rFonts w:hint="default" w:ascii="Times New Roman" w:hAnsi="Times New Roman" w:eastAsia="仿宋_GB2312" w:cs="Times New Roman"/>
          <w:sz w:val="32"/>
          <w:szCs w:val="32"/>
        </w:rPr>
        <w:t>，主导下风向10公里</w:t>
      </w:r>
      <w:r>
        <w:rPr>
          <w:rFonts w:hint="default" w:ascii="Times New Roman" w:hAnsi="Times New Roman" w:eastAsia="仿宋_GB2312" w:cs="Times New Roman"/>
          <w:sz w:val="32"/>
          <w:szCs w:val="32"/>
          <w:lang w:val="en-US" w:eastAsia="zh-CN"/>
        </w:rPr>
        <w:t>范围内的区域</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详见附图3</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highlight w:val="none"/>
          <w:lang w:val="en-US" w:eastAsia="zh-CN"/>
        </w:rPr>
        <w:t>机场禁烧区域为兴安通用机场</w:t>
      </w:r>
      <w:r>
        <w:rPr>
          <w:rFonts w:hint="default" w:ascii="Times New Roman" w:hAnsi="Times New Roman" w:eastAsia="仿宋_GB2312" w:cs="Times New Roman"/>
          <w:sz w:val="32"/>
          <w:szCs w:val="32"/>
          <w:lang w:val="en-US" w:eastAsia="zh-CN"/>
        </w:rPr>
        <w:t>周围外延15</w:t>
      </w:r>
      <w:r>
        <w:rPr>
          <w:rFonts w:hint="default" w:ascii="Times New Roman" w:hAnsi="Times New Roman" w:eastAsia="仿宋_GB2312" w:cs="Times New Roman"/>
          <w:sz w:val="32"/>
          <w:szCs w:val="32"/>
          <w:lang w:eastAsia="zh-CN"/>
        </w:rPr>
        <w:t>公里</w:t>
      </w:r>
      <w:r>
        <w:rPr>
          <w:rFonts w:hint="default" w:ascii="Times New Roman" w:hAnsi="Times New Roman" w:eastAsia="仿宋_GB2312" w:cs="Times New Roman"/>
          <w:sz w:val="32"/>
          <w:szCs w:val="32"/>
          <w:lang w:val="en-US" w:eastAsia="zh-CN"/>
        </w:rPr>
        <w:t>范围内的区域</w:t>
      </w:r>
      <w:r>
        <w:rPr>
          <w:rFonts w:hint="default" w:ascii="Times New Roman" w:hAnsi="Times New Roman" w:eastAsia="仿宋_GB2312" w:cs="Times New Roman"/>
          <w:sz w:val="32"/>
          <w:szCs w:val="32"/>
          <w:highlight w:val="none"/>
          <w:lang w:val="en-US" w:eastAsia="zh-CN"/>
        </w:rPr>
        <w:t>（详见附图4）</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自然保护区禁烧区域为猫儿山国家级自然保护区、海洋山自治区级自然保护区</w:t>
      </w:r>
      <w:r>
        <w:rPr>
          <w:rFonts w:hint="default" w:ascii="Times New Roman" w:hAnsi="Times New Roman" w:eastAsia="仿宋_GB2312" w:cs="Times New Roman"/>
          <w:sz w:val="32"/>
          <w:szCs w:val="32"/>
        </w:rPr>
        <w:t>周围1公里以内的区域。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详见附图5</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林场禁烧区域为</w:t>
      </w:r>
      <w:r>
        <w:rPr>
          <w:rFonts w:hint="default" w:ascii="Times New Roman" w:hAnsi="Times New Roman" w:eastAsia="仿宋_GB2312" w:cs="Times New Roman"/>
          <w:sz w:val="32"/>
          <w:szCs w:val="32"/>
          <w:highlight w:val="none"/>
          <w:lang w:val="en-US" w:eastAsia="zh-CN"/>
        </w:rPr>
        <w:t>界首白面江林场、界首白花岭林场、漠川协兴林场、溶江五爪山林场、溶江路逢江林场、兴安镇小头岭林场、兴安镇半冲林场）、</w:t>
      </w:r>
      <w:r>
        <w:rPr>
          <w:rFonts w:hint="default" w:ascii="Times New Roman" w:hAnsi="Times New Roman" w:eastAsia="仿宋_GB2312" w:cs="Times New Roman"/>
          <w:color w:val="auto"/>
          <w:sz w:val="32"/>
          <w:szCs w:val="32"/>
          <w:highlight w:val="none"/>
          <w:lang w:val="en-US" w:eastAsia="zh-CN"/>
        </w:rPr>
        <w:t>摩天岭林场</w:t>
      </w:r>
      <w:r>
        <w:rPr>
          <w:rFonts w:hint="default" w:ascii="Times New Roman" w:hAnsi="Times New Roman" w:eastAsia="仿宋_GB2312" w:cs="Times New Roman"/>
          <w:sz w:val="32"/>
          <w:szCs w:val="32"/>
          <w:lang w:val="en-US" w:eastAsia="zh-CN"/>
        </w:rPr>
        <w:t>边缘外延1公里范围内的区域</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详见附图6</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 xml:space="preserve">（二）限烧区范围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兴安县已划定的禁烧区以外的</w:t>
      </w:r>
      <w:r>
        <w:rPr>
          <w:rFonts w:hint="eastAsia" w:eastAsia="仿宋_GB2312" w:cs="Times New Roman"/>
          <w:sz w:val="32"/>
          <w:szCs w:val="32"/>
          <w:highlight w:val="none"/>
          <w:lang w:val="en-US" w:eastAsia="zh-CN"/>
        </w:rPr>
        <w:t>农作物生产区边界</w:t>
      </w:r>
      <w:r>
        <w:rPr>
          <w:rFonts w:hint="default" w:ascii="Times New Roman" w:hAnsi="Times New Roman" w:eastAsia="仿宋_GB2312" w:cs="Times New Roman"/>
          <w:sz w:val="32"/>
          <w:szCs w:val="32"/>
          <w:highlight w:val="none"/>
          <w:lang w:val="en-US" w:eastAsia="zh-CN"/>
        </w:rPr>
        <w:t>定义为秸秆限烧区，即在特定环境条件下，按管控要求允许进行农作物秸秆露天焚烧活动的区域。（详情见附图1、附表2）</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p>
    <w:p>
      <w:pPr>
        <w:pStyle w:val="3"/>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0" w:leftChars="0" w:firstLine="0" w:firstLineChars="0"/>
        <w:jc w:val="center"/>
        <w:textAlignment w:val="auto"/>
        <w:rPr>
          <w:rFonts w:hint="eastAsia" w:ascii="黑体" w:hAnsi="黑体" w:eastAsia="黑体" w:cs="黑体"/>
          <w:b w:val="0"/>
          <w:bCs/>
          <w:sz w:val="36"/>
          <w:szCs w:val="36"/>
          <w:lang w:val="en-US" w:eastAsia="zh-CN"/>
        </w:rPr>
      </w:pPr>
      <w:bookmarkStart w:id="15" w:name="_Toc23126"/>
      <w:bookmarkEnd w:id="15"/>
      <w:r>
        <w:rPr>
          <w:rFonts w:hint="eastAsia" w:ascii="黑体" w:hAnsi="黑体" w:eastAsia="黑体" w:cs="黑体"/>
          <w:b w:val="0"/>
          <w:bCs/>
          <w:sz w:val="36"/>
          <w:szCs w:val="36"/>
          <w:lang w:eastAsia="zh-CN"/>
        </w:rPr>
        <w:t>第</w:t>
      </w:r>
      <w:r>
        <w:rPr>
          <w:rFonts w:hint="eastAsia" w:ascii="黑体" w:hAnsi="黑体" w:eastAsia="黑体" w:cs="黑体"/>
          <w:b w:val="0"/>
          <w:bCs/>
          <w:sz w:val="36"/>
          <w:szCs w:val="36"/>
          <w:lang w:val="en-US" w:eastAsia="zh-CN"/>
        </w:rPr>
        <w:t>四</w:t>
      </w:r>
      <w:r>
        <w:rPr>
          <w:rFonts w:hint="eastAsia" w:ascii="黑体" w:hAnsi="黑体" w:eastAsia="黑体" w:cs="黑体"/>
          <w:b w:val="0"/>
          <w:bCs/>
          <w:sz w:val="36"/>
          <w:szCs w:val="36"/>
          <w:lang w:eastAsia="zh-CN"/>
        </w:rPr>
        <w:t>章</w:t>
      </w:r>
      <w:r>
        <w:rPr>
          <w:rFonts w:hint="eastAsia" w:ascii="黑体" w:hAnsi="黑体" w:eastAsia="黑体" w:cs="黑体"/>
          <w:b w:val="0"/>
          <w:bCs/>
          <w:sz w:val="36"/>
          <w:szCs w:val="36"/>
          <w:lang w:val="en-US" w:eastAsia="zh-CN"/>
        </w:rPr>
        <w:t xml:space="preserve"> 管控及综合利用方案</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16" w:name="_Toc14720"/>
      <w:bookmarkEnd w:id="16"/>
      <w:r>
        <w:rPr>
          <w:rFonts w:hint="eastAsia" w:ascii="黑体" w:hAnsi="黑体" w:eastAsia="黑体" w:cs="黑体"/>
          <w:b w:val="0"/>
          <w:bCs/>
          <w:sz w:val="32"/>
          <w:szCs w:val="32"/>
          <w:lang w:val="en-US" w:eastAsia="zh-CN"/>
        </w:rPr>
        <w:t>一、</w:t>
      </w:r>
      <w:r>
        <w:rPr>
          <w:rFonts w:hint="default" w:ascii="黑体" w:hAnsi="黑体" w:eastAsia="黑体" w:cs="黑体"/>
          <w:b w:val="0"/>
          <w:bCs/>
          <w:sz w:val="32"/>
          <w:szCs w:val="32"/>
          <w:lang w:val="en-US" w:eastAsia="zh-CN"/>
        </w:rPr>
        <w:t xml:space="preserve">管控要求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w:t>
      </w:r>
      <w:r>
        <w:rPr>
          <w:rFonts w:hint="default" w:ascii="楷体_GB2312" w:hAnsi="楷体_GB2312" w:eastAsia="楷体_GB2312" w:cs="楷体_GB2312"/>
          <w:sz w:val="32"/>
          <w:szCs w:val="32"/>
          <w:lang w:val="en-US" w:eastAsia="zh-CN"/>
        </w:rPr>
        <w:t xml:space="preserve">秸秆禁烧区与限烧区管控要求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1．禁烧区管控要求</w:t>
      </w:r>
      <w:r>
        <w:rPr>
          <w:rFonts w:hint="default" w:ascii="Times New Roman" w:hAnsi="Times New Roman" w:eastAsia="仿宋_GB2312" w:cs="Times New Roman"/>
          <w:sz w:val="32"/>
          <w:szCs w:val="32"/>
          <w:highlight w:val="none"/>
          <w:lang w:val="en-US" w:eastAsia="zh-CN"/>
        </w:rPr>
        <w:t xml:space="preserve">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实行最严厉的强制性禁烧政策和管理措施，在任何时间段该区域都不允许进行秸秆露天焚烧活动。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 xml:space="preserve">2．限烧区管控要求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（1）符合以下环境条件之一的情况下，限烧区内可根据相关规定有序进行秸秆焚烧。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1．风速条件合适（大于2级，且小于5级），且空气质量较好（空气质量为优或者良）。</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pacing w:val="11"/>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pacing w:val="11"/>
          <w:sz w:val="32"/>
          <w:szCs w:val="32"/>
          <w:highlight w:val="none"/>
          <w:lang w:val="en-US" w:eastAsia="zh-CN"/>
        </w:rPr>
        <w:t xml:space="preserve">未来一天有冷空气或未来8小时后有降雨的大气有利扩散条件。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3．受强冷空气（日降温幅度在6℃以上）影响的当日或第二天。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4．当地生态环境部门和气象部门确定的有利于焚烧秸秆烟气扩散和清除的天气。</w:t>
      </w:r>
      <w:r>
        <w:rPr>
          <w:rFonts w:hint="default" w:ascii="Times New Roman" w:hAnsi="Times New Roman" w:eastAsia="仿宋_GB2312" w:cs="Times New Roman"/>
          <w:sz w:val="32"/>
          <w:szCs w:val="32"/>
          <w:highlight w:val="none"/>
          <w:lang w:val="en-US" w:eastAsia="zh-CN"/>
        </w:rPr>
        <w:t xml:space="preserve">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（2）分区域分时段露天焚烧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val="en-US" w:eastAsia="zh-CN"/>
        </w:rPr>
        <w:t xml:space="preserve">以行政村为单位组织进行有序焚烧，防止大面积集中焚烧带来区域大气污染。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 xml:space="preserve">秸秆焚烧时段应根据当地气象部门提供的气象条件进行。一般选择在上午10点到下午3点之间大气边界层较高（500米以上）的情况下进行焚烧，而不在大气边界层较低的清晨、傍晚及夜间焚烧。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val="en-US" w:eastAsia="zh-CN"/>
        </w:rPr>
        <w:t xml:space="preserve">在重大节日和兴安县启动污染天气预警期间，限烧区全面禁止露天焚烧秸秆。 </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17" w:name="_Toc18384"/>
      <w:bookmarkEnd w:id="17"/>
      <w:r>
        <w:rPr>
          <w:rFonts w:hint="eastAsia" w:ascii="黑体" w:hAnsi="黑体" w:eastAsia="黑体" w:cs="黑体"/>
          <w:b w:val="0"/>
          <w:bCs/>
          <w:sz w:val="32"/>
          <w:szCs w:val="32"/>
          <w:lang w:val="en-US" w:eastAsia="zh-CN"/>
        </w:rPr>
        <w:t>二、</w:t>
      </w:r>
      <w:r>
        <w:rPr>
          <w:rFonts w:hint="default" w:ascii="黑体" w:hAnsi="黑体" w:eastAsia="黑体" w:cs="黑体"/>
          <w:b w:val="0"/>
          <w:bCs/>
          <w:sz w:val="32"/>
          <w:szCs w:val="32"/>
          <w:lang w:val="en-US" w:eastAsia="zh-CN"/>
        </w:rPr>
        <w:t>管控及综合利用工作任务及要求</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（一）落实责任主体</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乡（镇）</w:t>
      </w:r>
      <w:r>
        <w:rPr>
          <w:rFonts w:hint="default" w:ascii="Times New Roman" w:hAnsi="Times New Roman" w:eastAsia="仿宋_GB2312" w:cs="Times New Roman"/>
          <w:sz w:val="32"/>
          <w:szCs w:val="32"/>
          <w:highlight w:val="none"/>
          <w:lang w:val="en-US" w:eastAsia="zh-CN"/>
        </w:rPr>
        <w:t>是全面禁止露天焚烧和推进综合利用的责任主体，党政主要领导负总责，扎实做好露天禁烧网格划分“三定”（定区域、定人员、定责任）和网格管理基础工作，建立以“乡（镇）为主、村落实、组管片、户联防”的</w:t>
      </w:r>
      <w:r>
        <w:rPr>
          <w:rFonts w:hint="eastAsia" w:eastAsia="仿宋_GB2312" w:cs="Times New Roman"/>
          <w:sz w:val="32"/>
          <w:szCs w:val="32"/>
          <w:highlight w:val="none"/>
          <w:lang w:val="en-US" w:eastAsia="zh-CN"/>
        </w:rPr>
        <w:t>四</w:t>
      </w:r>
      <w:r>
        <w:rPr>
          <w:rFonts w:hint="default" w:ascii="Times New Roman" w:hAnsi="Times New Roman" w:eastAsia="仿宋_GB2312" w:cs="Times New Roman"/>
          <w:sz w:val="32"/>
          <w:szCs w:val="32"/>
          <w:highlight w:val="none"/>
          <w:lang w:val="en-US" w:eastAsia="zh-CN"/>
        </w:rPr>
        <w:t>级管理网格，形成“边界明确、责任落实，上下互动、横向到边、纵向到底”的</w:t>
      </w:r>
      <w:r>
        <w:rPr>
          <w:rFonts w:hint="eastAsia" w:eastAsia="仿宋_GB2312" w:cs="Times New Roman"/>
          <w:sz w:val="32"/>
          <w:szCs w:val="32"/>
          <w:highlight w:val="none"/>
          <w:lang w:val="en-US" w:eastAsia="zh-CN"/>
        </w:rPr>
        <w:t>乡（镇）</w:t>
      </w:r>
      <w:r>
        <w:rPr>
          <w:rFonts w:hint="default" w:ascii="Times New Roman" w:hAnsi="Times New Roman" w:eastAsia="仿宋_GB2312" w:cs="Times New Roman"/>
          <w:sz w:val="32"/>
          <w:szCs w:val="32"/>
          <w:highlight w:val="none"/>
          <w:lang w:val="en-US" w:eastAsia="zh-CN"/>
        </w:rPr>
        <w:t>、村委、自然村屯（小组）三级管理体系，推动露天禁烧工作规范化、制度化，确保禁烧空间覆盖无空白，职责落实无盲点，监督管理无缝隙。</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（二）强化宣传引导</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要充分发挥广播、电视、报刊、网络等载体和微博、微信、APP等新媒体的舆论引导和监督作用，多层次、多角度深入开展形式多样、生动活泼、贴近生活的禁烧和秸秆综合利用宣传教育活动。</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要采取村内宣传广播、村口悬挂横幅标语、移动宣传车和发放宣传册、签订责任书等多种方式，广泛宣传露天焚烧的危害性和秸秆综合利用对促进资源节约、环境保护、农民增收等方面的重要意义，宣传露天禁烧的相关法律法规和政策要求，充分调动群众监督、举报和制止露天焚烧行为的积极性，教育引导广大农民群众积极参与到禁烧工作中来。</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 xml:space="preserve">（三）推行秸秆综合利用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秸秆机械化粉碎还田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大力倡导秸秆粉碎还田、深翻耕、集中堆放腐熟、秋播后还田覆盖等技术来改善农田土壤结构，提高农田地力。针对兴安县水稻种植面积广的特点，大力推广水稻秸秆机械化粉碎还田技术，引导农民对粉碎后的水稻秸秆进行及时耕翻压盖，加快水稻秸秆腐烂。机械收割留桩高度要低于 15 厘米，便于机械翻耕、还田和埋茬。</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秸秆“五化”利用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pacing w:val="6"/>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肥料化利用。以水稻、玉米、高粱、小麦等农作物种植为重点，通过运用秸秆粉碎还田、集中堆沤腐熟还田、覆盖还田、过腹还田、生产有机肥还田等技术运用，改善农田土壤结构，提高农田地力，建立科学合理的耕作制度。充分利用国家农机购置补贴政策，对灭茬机、秸秆粉碎还田机、旋耕机、铡草机、秸秆捡拾机、打捆机等秸秆综合利用机械进行补贴，通过财政补贴、企业或农民自筹等方式，鼓</w:t>
      </w:r>
      <w:r>
        <w:rPr>
          <w:rFonts w:hint="default" w:ascii="Times New Roman" w:hAnsi="Times New Roman" w:eastAsia="仿宋_GB2312" w:cs="Times New Roman"/>
          <w:spacing w:val="6"/>
          <w:sz w:val="32"/>
          <w:szCs w:val="32"/>
          <w:highlight w:val="none"/>
          <w:lang w:val="en-US" w:eastAsia="zh-CN"/>
        </w:rPr>
        <w:t>励企业或农民购置秸秆利用机具，加大秸秆机械化还田新机具、新技术推广应用力度，推进农机与农艺融合。从而有效地提高秸秆还田率。</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饲料化利用。大力推广新型秸秆饲料加工技术，通过“企业+基地+农户”等模式，采取财政补贴、企业或农民自筹等方式，鼓励农户大力发展青储玉米等作物，鼓励养殖场（户、小区）和秸秆饲料加工企业开展秸秆饲料化商品化生产，制作青贮、氨化、微贮或颗粒等秸秆饲料，提高秸秆饲料化应用比例。</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（3）原料化利用。建立利益导向机制，加大扶持力度，引进一批造纸、板材、包装材料等加工企业，开展秸秆原料化利用。</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（4）基料化利用。充分利用</w:t>
      </w:r>
      <w:r>
        <w:rPr>
          <w:rFonts w:hint="eastAsia" w:eastAsia="仿宋_GB2312" w:cs="Times New Roman"/>
          <w:sz w:val="32"/>
          <w:szCs w:val="32"/>
          <w:highlight w:val="none"/>
          <w:lang w:val="en-US" w:eastAsia="zh-CN"/>
        </w:rPr>
        <w:t>兴安</w:t>
      </w:r>
      <w:r>
        <w:rPr>
          <w:rFonts w:hint="default" w:ascii="Times New Roman" w:hAnsi="Times New Roman" w:eastAsia="仿宋_GB2312" w:cs="Times New Roman"/>
          <w:sz w:val="32"/>
          <w:szCs w:val="32"/>
          <w:highlight w:val="none"/>
          <w:lang w:val="en-US" w:eastAsia="zh-CN"/>
        </w:rPr>
        <w:t>县丰富的稻秆、玉米芯等资源，大力推广秸秆基料食用菌种植技术和秸秆栽培基质技术，扶持龙头企业、合作社等新型经营主体推广企业加农户的经营模式用秸秆制作食用菌基料，建设一批秸秆栽培食用菌生产基地。鼓励农业部门或龙头企业、合作社等新型经营主体用秸秆制作农作物栽培基质，促进农业生态平衡，加快建设高效生态的现代农业。</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5）燃料化利用。结合兴安县主要秸秆作物为水稻、玉米的特点，积极推进以秸秆为原料的气化利用工程，重点扶持秸秆热解全气化与沼气集中供气项目，大力推广以秸秆为原料的热解全气化技术、沼气制取技术。积极推进秸秆燃料多元化利用，合理发展秸秆成型原料，并配套生物质成型原料锅炉和民用炉具。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 3</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建立秸秆收储运服务体系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当前秸秆收储运服务体系不完善是秸秆综合利用的一大制约因素，应统筹考虑秸秆收、储、运、用各环节的支持方式。农业农村</w:t>
      </w:r>
      <w:r>
        <w:rPr>
          <w:rFonts w:hint="eastAsia" w:eastAsia="仿宋_GB2312" w:cs="Times New Roman"/>
          <w:sz w:val="32"/>
          <w:szCs w:val="32"/>
          <w:highlight w:val="none"/>
          <w:lang w:val="en-US" w:eastAsia="zh-CN"/>
        </w:rPr>
        <w:t>部门</w:t>
      </w:r>
      <w:r>
        <w:rPr>
          <w:rFonts w:hint="default" w:ascii="Times New Roman" w:hAnsi="Times New Roman" w:eastAsia="仿宋_GB2312" w:cs="Times New Roman"/>
          <w:sz w:val="32"/>
          <w:szCs w:val="32"/>
          <w:highlight w:val="none"/>
          <w:lang w:val="en-US" w:eastAsia="zh-CN"/>
        </w:rPr>
        <w:t>应推动、引导、给予一定优惠政策，扶持龙头企业和合作社，鼓励农户参与，市场化运作等方式，建立秸秆收储运体系。</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建立秸秆离田管理机制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以行政村为基本单元，逐一确定实施秸秆离田工作的责任单位及责任人，确保秸秆离田方案针对性强、可操作。协调利用好辖区内的秸秆捡拾打捆机械，按综合利用秸秆、农民自用秸秆和废弃秸秆等类别，分类明确秸秆离田数量、形式、时限和去向。</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、自然村屯要因地制宜，充分利用闲置土地、场所，合理设置秸秆集中堆放场所，形成以自然村屯为基点，覆盖辖区的集中存储网络。各乡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应组织处置超出企业使用处理能力的秸秆，将秸秆运至临时存储场所，后期逐步消化处理。</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5</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秸秆利用创新</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加大秸秆综合利用新技术、新方法的研究推广，鼓励秸秆综合利用企业积极引进开发先进实用的秸秆收集、储运、利用技术工艺和装备。建立示范基地，以点带面。总结试点经验，进一步明确不同地区、不同作物秸秆综合利用路径。</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（四）强化执法监督</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val="en-US" w:eastAsia="zh-CN"/>
        </w:rPr>
        <w:t>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要切实落实属地网格员巡查责任，将巡查责任落实到村、到户、到人、到每个田间地头。对每例焚烧案件，必须查实点火责任人。各村应建立巡查队伍，每日的重要时段巡查一遍，发现有露天焚烧的要第一时间处置；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应建立检查队伍，每周检查一遍，对检查发现的问题及时督促整改；县人民政府成立联合专项督查组，每月督查一遍，对督查发现的问题及时通报有关单位整改。</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严厉查处露天焚烧行为。在县城建成区以及不在建成区范围内的风景名胜区、旅游景区、经济开发区等其他实行城市化管理的区域露天焚烧的由城市管理监督部门按照《桂林市城市市容和环境卫生管理条例》第五十一条规定进行处罚；</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在以上区域外的其他地区露天焚烧的由各乡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人民政府</w:t>
      </w:r>
      <w:r>
        <w:rPr>
          <w:rFonts w:hint="eastAsia" w:eastAsia="仿宋_GB2312" w:cs="Times New Roman"/>
          <w:sz w:val="32"/>
          <w:szCs w:val="32"/>
          <w:highlight w:val="none"/>
          <w:lang w:val="en-US" w:eastAsia="zh-CN"/>
        </w:rPr>
        <w:t>根据</w:t>
      </w:r>
      <w:r>
        <w:rPr>
          <w:rFonts w:hint="default" w:ascii="Times New Roman" w:hAnsi="Times New Roman" w:eastAsia="仿宋_GB2312" w:cs="Times New Roman"/>
          <w:sz w:val="32"/>
          <w:szCs w:val="32"/>
          <w:highlight w:val="none"/>
          <w:lang w:val="en-US" w:eastAsia="zh-CN"/>
        </w:rPr>
        <w:t>《中华人民共和国大气污染防治法》第一百一十九条规定，进行处罚；</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露天焚烧过失引起火灾尚不构成犯罪的由应急管理部门根据《中华人民共和国消防法》第六十四条规定，进行处罚；</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露天焚烧</w:t>
      </w:r>
      <w:r>
        <w:rPr>
          <w:rFonts w:hint="eastAsia" w:eastAsia="仿宋_GB2312" w:cs="Times New Roman"/>
          <w:sz w:val="32"/>
          <w:szCs w:val="32"/>
          <w:highlight w:val="none"/>
          <w:lang w:val="en-US" w:eastAsia="zh-CN"/>
        </w:rPr>
        <w:t>涉嫌</w:t>
      </w:r>
      <w:r>
        <w:rPr>
          <w:rFonts w:hint="default" w:ascii="Times New Roman" w:hAnsi="Times New Roman" w:eastAsia="仿宋_GB2312" w:cs="Times New Roman"/>
          <w:sz w:val="32"/>
          <w:szCs w:val="32"/>
          <w:highlight w:val="none"/>
          <w:lang w:val="en-US" w:eastAsia="zh-CN"/>
        </w:rPr>
        <w:t>犯罪的，由公安机关</w:t>
      </w:r>
      <w:r>
        <w:rPr>
          <w:rFonts w:hint="eastAsia" w:eastAsia="仿宋_GB2312" w:cs="Times New Roman"/>
          <w:sz w:val="32"/>
          <w:szCs w:val="32"/>
          <w:highlight w:val="none"/>
          <w:lang w:val="en-US" w:eastAsia="zh-CN"/>
        </w:rPr>
        <w:t>及时移送</w:t>
      </w:r>
      <w:r>
        <w:rPr>
          <w:rFonts w:hint="default" w:ascii="Times New Roman" w:hAnsi="Times New Roman" w:eastAsia="仿宋_GB2312" w:cs="Times New Roman"/>
          <w:sz w:val="32"/>
          <w:szCs w:val="32"/>
          <w:highlight w:val="none"/>
          <w:lang w:val="en-US" w:eastAsia="zh-CN"/>
        </w:rPr>
        <w:t>司法机关；</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凡干扰、妨碍和阻挠国家机关工作人员依法执行公务的，由公安机关根据《中华人民共和国治安管理处罚法》第五十条规定进行处罚</w:t>
      </w:r>
      <w:r>
        <w:rPr>
          <w:rFonts w:hint="eastAsia" w:eastAsia="仿宋_GB2312" w:cs="Times New Roman"/>
          <w:sz w:val="32"/>
          <w:szCs w:val="32"/>
          <w:highlight w:val="none"/>
          <w:lang w:val="en-US" w:eastAsia="zh-CN"/>
        </w:rPr>
        <w:t>；涉嫌</w:t>
      </w:r>
      <w:r>
        <w:rPr>
          <w:rFonts w:hint="default" w:ascii="Times New Roman" w:hAnsi="Times New Roman" w:eastAsia="仿宋_GB2312" w:cs="Times New Roman"/>
          <w:sz w:val="32"/>
          <w:szCs w:val="32"/>
          <w:highlight w:val="none"/>
          <w:lang w:val="en-US" w:eastAsia="zh-CN"/>
        </w:rPr>
        <w:t>犯罪的，</w:t>
      </w:r>
      <w:r>
        <w:rPr>
          <w:rFonts w:hint="eastAsia" w:eastAsia="仿宋_GB2312" w:cs="Times New Roman"/>
          <w:sz w:val="32"/>
          <w:szCs w:val="32"/>
          <w:highlight w:val="none"/>
          <w:lang w:val="en-US" w:eastAsia="zh-CN"/>
        </w:rPr>
        <w:t>及时移送</w:t>
      </w:r>
      <w:r>
        <w:rPr>
          <w:rFonts w:hint="default" w:ascii="Times New Roman" w:hAnsi="Times New Roman" w:eastAsia="仿宋_GB2312" w:cs="Times New Roman"/>
          <w:sz w:val="32"/>
          <w:szCs w:val="32"/>
          <w:highlight w:val="none"/>
          <w:lang w:val="en-US" w:eastAsia="zh-CN"/>
        </w:rPr>
        <w:t>司法机关。</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（五）警示牌设立</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val="en-US" w:eastAsia="zh-CN"/>
        </w:rPr>
        <w:t>秸秆禁烧区必须设置能够显示范围及管理规定的警示牌，禁止任何时间露天焚烧秸秆；</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秸秆限烧区应设置显示范围及管控要求的警示牌，在特定时间，特定范围有组织、秩序地焚烧秸秆；</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val="en-US" w:eastAsia="zh-CN"/>
        </w:rPr>
        <w:t>秸秆禁烧区、限烧区警示牌应设置在所涉及范围边界附近的最容易被观察到的地方；</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警示牌应牢固地固定在依托物上，不能产生倾斜、卷翘摆动等现象高度就尽量与人眼的视线相一致。</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禁烧区、限烧区警示牌未经允许任何人不得私自进行挪动移位拆除。</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 xml:space="preserve">（六）网格化巡查管理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县人民政府主要领导为本辖区禁烧工作的第一责任人，各乡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政府主要负责人、行政村（社区）主要负责人为禁烧工作直接责任人。层层传导压力， 压实责任，确保每块农田都有1名监管责任人；定期开展巡查工作，并填写巡查台账，及时发现和制止秸秆焚烧行为，对违反规定的露天秸秆焚烧行为进行登记，及时上报，根据本方案相关管理规定依法依规进行处理；切实做到思想统一、目标明确、责任到人、落实到地、奖惩到位，确保秸秆禁烧履职尽责全覆盖、全过程、无死角。</w:t>
      </w:r>
    </w:p>
    <w:p>
      <w:pPr>
        <w:pStyle w:val="2"/>
        <w:keepNext w:val="0"/>
        <w:keepLines w:val="0"/>
        <w:pageBreakBefore w:val="0"/>
        <w:widowControl w:val="0"/>
        <w:kinsoku/>
        <w:wordWrap w:val="0"/>
        <w:overflowPunct/>
        <w:topLinePunct w:val="0"/>
        <w:autoSpaceDE/>
        <w:autoSpaceDN/>
        <w:bidi w:val="0"/>
        <w:adjustRightInd w:val="0"/>
        <w:snapToGrid/>
        <w:spacing w:before="0" w:beforeAutospacing="0" w:after="0" w:afterAutospacing="0" w:line="586" w:lineRule="exact"/>
        <w:ind w:leftChars="0" w:firstLine="640" w:firstLineChars="200"/>
        <w:jc w:val="both"/>
        <w:textAlignment w:val="auto"/>
        <w:outlineLvl w:val="1"/>
        <w:rPr>
          <w:rFonts w:hint="default" w:ascii="黑体" w:hAnsi="黑体" w:eastAsia="黑体" w:cs="黑体"/>
          <w:b w:val="0"/>
          <w:bCs/>
          <w:sz w:val="32"/>
          <w:szCs w:val="32"/>
          <w:lang w:val="en-US" w:eastAsia="zh-CN"/>
        </w:rPr>
      </w:pPr>
      <w:bookmarkStart w:id="18" w:name="_Toc2147"/>
      <w:bookmarkEnd w:id="18"/>
      <w:r>
        <w:rPr>
          <w:rFonts w:hint="eastAsia" w:ascii="黑体" w:hAnsi="黑体" w:eastAsia="黑体" w:cs="黑体"/>
          <w:b w:val="0"/>
          <w:bCs/>
          <w:sz w:val="32"/>
          <w:szCs w:val="32"/>
          <w:lang w:val="en-US" w:eastAsia="zh-CN"/>
        </w:rPr>
        <w:t>三、</w:t>
      </w:r>
      <w:r>
        <w:rPr>
          <w:rFonts w:hint="default" w:ascii="黑体" w:hAnsi="黑体" w:eastAsia="黑体" w:cs="黑体"/>
          <w:b w:val="0"/>
          <w:bCs/>
          <w:sz w:val="32"/>
          <w:szCs w:val="32"/>
          <w:lang w:val="en-US" w:eastAsia="zh-CN"/>
        </w:rPr>
        <w:t xml:space="preserve">管控保障措施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 xml:space="preserve">（一）加强组织领导 </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县人民政府成立露天禁烧和秸秆综合利用工作领导小组。各</w:t>
      </w:r>
      <w:r>
        <w:rPr>
          <w:rFonts w:hint="eastAsia" w:eastAsia="仿宋_GB2312" w:cs="Times New Roman"/>
          <w:color w:val="auto"/>
          <w:sz w:val="32"/>
          <w:szCs w:val="32"/>
          <w:highlight w:val="none"/>
          <w:lang w:val="en-US" w:eastAsia="zh-CN"/>
        </w:rPr>
        <w:t>乡（镇）</w:t>
      </w:r>
      <w:r>
        <w:rPr>
          <w:rFonts w:hint="default" w:ascii="Times New Roman" w:hAnsi="Times New Roman" w:eastAsia="仿宋_GB2312" w:cs="Times New Roman"/>
          <w:color w:val="auto"/>
          <w:sz w:val="32"/>
          <w:szCs w:val="32"/>
          <w:highlight w:val="none"/>
          <w:lang w:val="en-US" w:eastAsia="zh-CN"/>
        </w:rPr>
        <w:t>、村委（社区）</w:t>
      </w:r>
      <w:r>
        <w:rPr>
          <w:rFonts w:hint="eastAsia" w:eastAsia="仿宋_GB2312" w:cs="Times New Roman"/>
          <w:color w:val="auto"/>
          <w:sz w:val="32"/>
          <w:szCs w:val="32"/>
          <w:highlight w:val="none"/>
          <w:lang w:val="en-US" w:eastAsia="zh-CN"/>
        </w:rPr>
        <w:t>参照成立相应工作领导小组</w:t>
      </w:r>
      <w:r>
        <w:rPr>
          <w:rFonts w:hint="default" w:ascii="Times New Roman" w:hAnsi="Times New Roman" w:eastAsia="仿宋_GB2312" w:cs="Times New Roman"/>
          <w:color w:val="auto"/>
          <w:sz w:val="32"/>
          <w:szCs w:val="32"/>
          <w:highlight w:val="none"/>
          <w:lang w:val="en-US" w:eastAsia="zh-CN"/>
        </w:rPr>
        <w:t>，负责本行政区域露天禁烧和秸秆综合利用工作。各</w:t>
      </w:r>
      <w:r>
        <w:rPr>
          <w:rFonts w:hint="eastAsia" w:eastAsia="仿宋_GB2312" w:cs="Times New Roman"/>
          <w:color w:val="auto"/>
          <w:sz w:val="32"/>
          <w:szCs w:val="32"/>
          <w:highlight w:val="none"/>
          <w:lang w:val="en-US" w:eastAsia="zh-CN"/>
        </w:rPr>
        <w:t>乡（镇）</w:t>
      </w:r>
      <w:r>
        <w:rPr>
          <w:rFonts w:hint="default" w:ascii="Times New Roman" w:hAnsi="Times New Roman" w:eastAsia="仿宋_GB2312" w:cs="Times New Roman"/>
          <w:color w:val="auto"/>
          <w:sz w:val="32"/>
          <w:szCs w:val="32"/>
          <w:highlight w:val="none"/>
          <w:lang w:val="en-US" w:eastAsia="zh-CN"/>
        </w:rPr>
        <w:t>、相关部门“一把手”必须亲自安排，做到机构、人员、职责和经费“四落实”，形成“统一领导、统一组织、统一调度”的组织领导机制，确保露天禁烧和秸秆综合利用工作高效有序运行。</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en-US" w:eastAsia="zh-CN"/>
        </w:rPr>
        <w:t>明确</w:t>
      </w:r>
      <w:r>
        <w:rPr>
          <w:rFonts w:hint="default" w:ascii="楷体_GB2312" w:hAnsi="楷体_GB2312" w:eastAsia="楷体_GB2312" w:cs="楷体_GB2312"/>
          <w:sz w:val="32"/>
          <w:szCs w:val="32"/>
          <w:lang w:val="en-US" w:eastAsia="zh-CN"/>
        </w:rPr>
        <w:t>责任</w:t>
      </w:r>
      <w:r>
        <w:rPr>
          <w:rFonts w:hint="eastAsia" w:ascii="楷体_GB2312" w:hAnsi="楷体_GB2312" w:eastAsia="楷体_GB2312" w:cs="楷体_GB2312"/>
          <w:sz w:val="32"/>
          <w:szCs w:val="32"/>
          <w:lang w:val="en-US" w:eastAsia="zh-CN"/>
        </w:rPr>
        <w:t>分工</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eastAsia="仿宋_GB2312" w:cs="Times New Roman"/>
          <w:b w:val="0"/>
          <w:bCs w:val="0"/>
          <w:color w:val="auto"/>
          <w:sz w:val="32"/>
          <w:szCs w:val="32"/>
          <w:highlight w:val="none"/>
          <w:lang w:val="en-US" w:eastAsia="zh-CN"/>
        </w:rPr>
        <w:t>县纪委监委：负责对</w:t>
      </w:r>
      <w:r>
        <w:rPr>
          <w:rFonts w:hint="default" w:ascii="Times New Roman" w:hAnsi="Times New Roman" w:eastAsia="仿宋_GB2312" w:cs="Times New Roman"/>
          <w:color w:val="auto"/>
          <w:spacing w:val="6"/>
          <w:sz w:val="32"/>
          <w:szCs w:val="32"/>
          <w:highlight w:val="none"/>
          <w:lang w:val="en-US" w:eastAsia="zh-CN"/>
        </w:rPr>
        <w:t>禁烧</w:t>
      </w:r>
      <w:r>
        <w:rPr>
          <w:rFonts w:hint="eastAsia" w:eastAsia="仿宋_GB2312" w:cs="Times New Roman"/>
          <w:color w:val="auto"/>
          <w:spacing w:val="6"/>
          <w:sz w:val="32"/>
          <w:szCs w:val="32"/>
          <w:highlight w:val="none"/>
          <w:lang w:val="en-US" w:eastAsia="zh-CN"/>
        </w:rPr>
        <w:t>工作推进、落实不力，造成管控区域露天焚烧火点较多的县直有关单位及乡（镇）、村委相关责任人进行问责。</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县委宣传部：负责协调新闻媒体宣传秸秆禁烧和综合利用的相关法律法规和政策规定，营造良好的禁烧和综合利用舆论氛围。</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县发展改革局：负责研究制定秸秆综合利用相关政策及配套措施，完善秸秆资源化利用扶持政策，推进秸秆利用相关企业尽快达产达效。联合县财政局、县农业农村局</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兴安生态环境局等部门共同推进秸秆综合利用项目建设。</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县教育局：负责以多种形式在中、小学生中开展露天禁烧和秸秆综合利用宣传，增强学生环保意识。</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pacing w:val="6"/>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县公安局：</w:t>
      </w:r>
      <w:r>
        <w:rPr>
          <w:rFonts w:hint="default" w:ascii="Times New Roman" w:hAnsi="Times New Roman" w:eastAsia="仿宋_GB2312" w:cs="Times New Roman"/>
          <w:b w:val="0"/>
          <w:bCs w:val="0"/>
          <w:color w:val="auto"/>
          <w:spacing w:val="6"/>
          <w:sz w:val="32"/>
          <w:szCs w:val="32"/>
          <w:highlight w:val="none"/>
          <w:lang w:val="en-US" w:eastAsia="zh-CN"/>
        </w:rPr>
        <w:t>负责依法查处纵火、失火造成严重后果的违法犯罪行为。</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县财政局：负责统筹安排财政资金，保障秸秆机收捡拾打捆、秸秆离田和秸秆临时储存点补贴资金发放，保障各乡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、各相关部门秸秆禁烧巡查监管正常资金支出。</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县自然资源局：负责安排保障秸秆储存和综合利用用地。</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县交通</w:t>
      </w:r>
      <w:r>
        <w:rPr>
          <w:rFonts w:hint="eastAsia" w:eastAsia="仿宋_GB2312" w:cs="Times New Roman"/>
          <w:b w:val="0"/>
          <w:bCs w:val="0"/>
          <w:color w:val="auto"/>
          <w:sz w:val="32"/>
          <w:szCs w:val="32"/>
          <w:highlight w:val="none"/>
          <w:lang w:val="en-US" w:eastAsia="zh-CN"/>
        </w:rPr>
        <w:t>运输</w:t>
      </w:r>
      <w:r>
        <w:rPr>
          <w:rFonts w:hint="default" w:ascii="Times New Roman" w:hAnsi="Times New Roman" w:eastAsia="仿宋_GB2312" w:cs="Times New Roman"/>
          <w:b w:val="0"/>
          <w:bCs w:val="0"/>
          <w:color w:val="auto"/>
          <w:sz w:val="32"/>
          <w:szCs w:val="32"/>
          <w:highlight w:val="none"/>
          <w:lang w:val="en-US" w:eastAsia="zh-CN"/>
        </w:rPr>
        <w:t>局：负责指导各</w:t>
      </w:r>
      <w:r>
        <w:rPr>
          <w:rFonts w:hint="eastAsia" w:eastAsia="仿宋_GB2312" w:cs="Times New Roman"/>
          <w:b w:val="0"/>
          <w:bCs w:val="0"/>
          <w:color w:val="auto"/>
          <w:sz w:val="32"/>
          <w:szCs w:val="32"/>
          <w:highlight w:val="none"/>
          <w:lang w:val="en-US" w:eastAsia="zh-CN"/>
        </w:rPr>
        <w:t>乡（镇）</w:t>
      </w:r>
      <w:r>
        <w:rPr>
          <w:rFonts w:hint="default" w:ascii="Times New Roman" w:hAnsi="Times New Roman" w:eastAsia="仿宋_GB2312" w:cs="Times New Roman"/>
          <w:b w:val="0"/>
          <w:bCs w:val="0"/>
          <w:color w:val="auto"/>
          <w:sz w:val="32"/>
          <w:szCs w:val="32"/>
          <w:highlight w:val="none"/>
          <w:lang w:val="en-US" w:eastAsia="zh-CN"/>
        </w:rPr>
        <w:t>建立完善秸秆运输渠道，打通秸秆运输环节瓶颈。</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县农业农村局：负责组织开展全县秸秆综合利用工作，做好秸秆肥料化、基料化（食用菌）等综合利用新技术的引进、示范、推广工作，切实提高秸秆直接利用率，做好农作物秸秆禁烧的宣传工作。</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林业局：负责引导做好林业规范种植工作，做好林区秸秆禁烧工作，合理安排“炼山”区域、时间。避免在林业种植过程中发生计划外“烧除”（炼山）情况，负责对护林员进行禁烧工作的培训、宣传，协助做好露天禁烧工作。</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县城市管理监督局：负责查处城市建成区、县级人民政府所在地城镇建成区以及不在建成区范围内的风景名胜区、旅游景区、经济开发区等其他实行城市化管理的区域范围内的露天焚烧违法行为。</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兴安生态环境局：负责督促、指导建立网格化监管机制，落实各级责任体系。做好对各乡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焚烧秸秆火点的监测数据调度、汇总及通报工作，同自治区和桂林市建立沟通协调联络机制，向领导小组和各乡</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镇</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通报相关信息。负责组织对秸秆禁烧工作安排部署落实情况进行督促检查。</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（三）加大政策扶持</w:t>
      </w:r>
    </w:p>
    <w:p>
      <w:pPr>
        <w:keepNext w:val="0"/>
        <w:keepLines w:val="0"/>
        <w:pageBreakBefore w:val="0"/>
        <w:widowControl w:val="0"/>
        <w:numPr>
          <w:ilvl w:val="0"/>
          <w:numId w:val="0"/>
        </w:numPr>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eastAsia="仿宋_GB2312" w:cs="Times New Roman"/>
          <w:color w:val="auto"/>
          <w:sz w:val="32"/>
          <w:szCs w:val="32"/>
          <w:highlight w:val="none"/>
          <w:lang w:val="en-US" w:eastAsia="zh-CN"/>
        </w:rPr>
        <w:t>保障资金支出，确</w:t>
      </w:r>
      <w:r>
        <w:rPr>
          <w:rFonts w:hint="default" w:ascii="Times New Roman" w:hAnsi="Times New Roman" w:eastAsia="仿宋_GB2312" w:cs="Times New Roman"/>
          <w:color w:val="auto"/>
          <w:sz w:val="32"/>
          <w:szCs w:val="32"/>
          <w:highlight w:val="none"/>
          <w:lang w:val="en-US" w:eastAsia="zh-CN"/>
        </w:rPr>
        <w:t>保露天禁烧和秸秆综合利用工作有序推进，主要用于露天禁烧和秸秆综合利用宣传培训、检查考核、有奖举报、新技术研究推广、综合利用补助、奖励优秀单位。制定切实可行的投资、价格、财政补贴、税收和金融优惠等政策，鼓励与引导企业、农户、秸秆收购经纪人参与秸秆综合利用。要加大扶持力度，引导建立一批规模化的秸秆“五化”加工利用企业，建设必要的秸秆储存基地，发展秸秆收集、运输等合作组织。要将农作物秸秆综合利用资金列入财政预算，引导社会力量和资金投入到秸秆综合利用，建立多渠道、多层次、多方位的融资机制。</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（四）狠抓责任追究</w:t>
      </w:r>
    </w:p>
    <w:p>
      <w:pPr>
        <w:keepNext w:val="0"/>
        <w:keepLines w:val="0"/>
        <w:pageBreakBefore w:val="0"/>
        <w:widowControl w:val="0"/>
        <w:numPr>
          <w:ilvl w:val="0"/>
          <w:numId w:val="0"/>
        </w:numPr>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严格</w:t>
      </w:r>
      <w:r>
        <w:rPr>
          <w:rFonts w:hint="default" w:ascii="Times New Roman" w:hAnsi="Times New Roman" w:eastAsia="仿宋_GB2312" w:cs="Times New Roman"/>
          <w:color w:val="auto"/>
          <w:spacing w:val="6"/>
          <w:sz w:val="32"/>
          <w:szCs w:val="32"/>
          <w:highlight w:val="none"/>
          <w:lang w:val="en-US" w:eastAsia="zh-CN"/>
        </w:rPr>
        <w:t>按照“有烟必查，有火必罚”的原则，严厉查处违规露天焚烧行为。对禁烧区域火点较多，对禁烧工作推进不力的</w:t>
      </w:r>
      <w:r>
        <w:rPr>
          <w:rFonts w:hint="eastAsia" w:eastAsia="仿宋_GB2312" w:cs="Times New Roman"/>
          <w:color w:val="auto"/>
          <w:spacing w:val="6"/>
          <w:sz w:val="32"/>
          <w:szCs w:val="32"/>
          <w:highlight w:val="none"/>
          <w:lang w:val="en-US" w:eastAsia="zh-CN"/>
        </w:rPr>
        <w:t>乡（镇）</w:t>
      </w:r>
      <w:r>
        <w:rPr>
          <w:rFonts w:hint="default" w:ascii="Times New Roman" w:hAnsi="Times New Roman" w:eastAsia="仿宋_GB2312" w:cs="Times New Roman"/>
          <w:color w:val="auto"/>
          <w:spacing w:val="6"/>
          <w:sz w:val="32"/>
          <w:szCs w:val="32"/>
          <w:highlight w:val="none"/>
          <w:lang w:val="en-US" w:eastAsia="zh-CN"/>
        </w:rPr>
        <w:t>、村委（社区）责任人由大气监督管理部门移送线索，由县纪委监委严肃责任追究。</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（五）严格督查考核</w:t>
      </w:r>
    </w:p>
    <w:p>
      <w:pPr>
        <w:keepNext w:val="0"/>
        <w:keepLines w:val="0"/>
        <w:pageBreakBefore w:val="0"/>
        <w:widowControl w:val="0"/>
        <w:numPr>
          <w:ilvl w:val="0"/>
          <w:numId w:val="0"/>
        </w:numPr>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全面落实县、乡、村“三级”</w:t>
      </w:r>
      <w:r>
        <w:rPr>
          <w:rFonts w:hint="default" w:ascii="Times New Roman" w:hAnsi="Times New Roman" w:eastAsia="仿宋_GB2312" w:cs="Times New Roman"/>
          <w:color w:val="auto"/>
          <w:spacing w:val="-11"/>
          <w:sz w:val="32"/>
          <w:szCs w:val="32"/>
          <w:highlight w:val="none"/>
          <w:lang w:val="en-US" w:eastAsia="zh-CN"/>
        </w:rPr>
        <w:t>督查考核机制</w:t>
      </w:r>
      <w:r>
        <w:rPr>
          <w:rFonts w:hint="eastAsia" w:eastAsia="仿宋_GB2312" w:cs="Times New Roman"/>
          <w:color w:val="auto"/>
          <w:spacing w:val="-11"/>
          <w:sz w:val="32"/>
          <w:szCs w:val="32"/>
          <w:highlight w:val="none"/>
          <w:lang w:val="en-US" w:eastAsia="zh-CN"/>
        </w:rPr>
        <w:t>，</w:t>
      </w:r>
      <w:r>
        <w:rPr>
          <w:rFonts w:hint="default" w:ascii="Times New Roman" w:hAnsi="Times New Roman" w:eastAsia="仿宋_GB2312" w:cs="Times New Roman"/>
          <w:color w:val="auto"/>
          <w:spacing w:val="-11"/>
          <w:sz w:val="32"/>
          <w:szCs w:val="32"/>
          <w:highlight w:val="none"/>
          <w:lang w:val="en-US" w:eastAsia="zh-CN"/>
        </w:rPr>
        <w:t>健全和落实督查考核奖惩机制，强化考核结果运用。</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天内在同一个乡（镇）范围内发现累计5个火点的，由县政府</w:t>
      </w:r>
      <w:r>
        <w:rPr>
          <w:rFonts w:hint="eastAsia" w:eastAsia="仿宋_GB2312" w:cs="Times New Roman"/>
          <w:color w:val="auto"/>
          <w:sz w:val="32"/>
          <w:szCs w:val="32"/>
          <w:highlight w:val="none"/>
          <w:lang w:val="en-US" w:eastAsia="zh-CN"/>
        </w:rPr>
        <w:t>分管领导</w:t>
      </w:r>
      <w:r>
        <w:rPr>
          <w:rFonts w:hint="default" w:ascii="Times New Roman" w:hAnsi="Times New Roman" w:eastAsia="仿宋_GB2312" w:cs="Times New Roman"/>
          <w:color w:val="auto"/>
          <w:sz w:val="32"/>
          <w:szCs w:val="32"/>
          <w:highlight w:val="none"/>
          <w:lang w:val="en-US" w:eastAsia="zh-CN"/>
        </w:rPr>
        <w:t>约谈所在乡</w:t>
      </w:r>
      <w:r>
        <w:rPr>
          <w:rFonts w:hint="eastAsia" w:eastAsia="仿宋_GB2312" w:cs="Times New Roman"/>
          <w:color w:val="auto"/>
          <w:sz w:val="32"/>
          <w:szCs w:val="32"/>
          <w:highlight w:val="none"/>
          <w:lang w:val="en-US" w:eastAsia="zh-CN"/>
        </w:rPr>
        <w:t>（镇）</w:t>
      </w:r>
      <w:r>
        <w:rPr>
          <w:rFonts w:hint="default" w:ascii="Times New Roman" w:hAnsi="Times New Roman" w:eastAsia="仿宋_GB2312" w:cs="Times New Roman"/>
          <w:color w:val="auto"/>
          <w:sz w:val="32"/>
          <w:szCs w:val="32"/>
          <w:highlight w:val="none"/>
          <w:lang w:val="en-US" w:eastAsia="zh-CN"/>
        </w:rPr>
        <w:t>政府分管领导，并对村委（社区）领导和相关责任人进行问责。</w:t>
      </w:r>
    </w:p>
    <w:p>
      <w:pPr>
        <w:keepNext w:val="0"/>
        <w:keepLines w:val="0"/>
        <w:pageBreakBefore w:val="0"/>
        <w:widowControl w:val="0"/>
        <w:kinsoku/>
        <w:wordWrap w:val="0"/>
        <w:overflowPunct/>
        <w:topLinePunct w:val="0"/>
        <w:autoSpaceDE/>
        <w:autoSpaceDN/>
        <w:bidi w:val="0"/>
        <w:adjustRightInd w:val="0"/>
        <w:snapToGrid/>
        <w:spacing w:beforeAutospacing="0" w:afterAutospacing="0" w:line="586" w:lineRule="exact"/>
        <w:ind w:leftChars="0" w:firstLine="640" w:firstLineChars="200"/>
        <w:jc w:val="both"/>
        <w:textAlignment w:val="auto"/>
        <w:rPr>
          <w:rFonts w:hint="eastAsia"/>
          <w:sz w:val="28"/>
          <w:szCs w:val="28"/>
          <w:highlight w:val="yellow"/>
          <w:lang w:val="en-US"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天内在同一个乡</w:t>
      </w:r>
      <w:r>
        <w:rPr>
          <w:rFonts w:hint="eastAsia" w:eastAsia="仿宋_GB2312" w:cs="Times New Roman"/>
          <w:color w:val="auto"/>
          <w:sz w:val="32"/>
          <w:szCs w:val="32"/>
          <w:highlight w:val="none"/>
          <w:lang w:val="en-US" w:eastAsia="zh-CN"/>
        </w:rPr>
        <w:t>（镇）</w:t>
      </w:r>
      <w:r>
        <w:rPr>
          <w:rFonts w:hint="default" w:ascii="Times New Roman" w:hAnsi="Times New Roman" w:eastAsia="仿宋_GB2312" w:cs="Times New Roman"/>
          <w:color w:val="auto"/>
          <w:sz w:val="32"/>
          <w:szCs w:val="32"/>
          <w:highlight w:val="none"/>
          <w:lang w:val="en-US" w:eastAsia="zh-CN"/>
        </w:rPr>
        <w:t>范围内发现累计15个火点的，由县政府</w:t>
      </w:r>
      <w:r>
        <w:rPr>
          <w:rFonts w:hint="eastAsia" w:eastAsia="仿宋_GB2312" w:cs="Times New Roman"/>
          <w:color w:val="auto"/>
          <w:sz w:val="32"/>
          <w:szCs w:val="32"/>
          <w:highlight w:val="none"/>
          <w:lang w:val="en-US" w:eastAsia="zh-CN"/>
        </w:rPr>
        <w:t>主要领导</w:t>
      </w:r>
      <w:r>
        <w:rPr>
          <w:rFonts w:hint="default" w:ascii="Times New Roman" w:hAnsi="Times New Roman" w:eastAsia="仿宋_GB2312" w:cs="Times New Roman"/>
          <w:color w:val="auto"/>
          <w:sz w:val="32"/>
          <w:szCs w:val="32"/>
          <w:highlight w:val="none"/>
          <w:lang w:val="en-US" w:eastAsia="zh-CN"/>
        </w:rPr>
        <w:t>约谈所在乡</w:t>
      </w:r>
      <w:r>
        <w:rPr>
          <w:rFonts w:hint="eastAsia" w:eastAsia="仿宋_GB2312" w:cs="Times New Roman"/>
          <w:color w:val="auto"/>
          <w:sz w:val="32"/>
          <w:szCs w:val="32"/>
          <w:highlight w:val="none"/>
          <w:lang w:val="en-US" w:eastAsia="zh-CN"/>
        </w:rPr>
        <w:t>（镇）</w:t>
      </w:r>
      <w:r>
        <w:rPr>
          <w:rFonts w:hint="default" w:ascii="Times New Roman" w:hAnsi="Times New Roman" w:eastAsia="仿宋_GB2312" w:cs="Times New Roman"/>
          <w:color w:val="auto"/>
          <w:sz w:val="32"/>
          <w:szCs w:val="32"/>
          <w:highlight w:val="none"/>
          <w:lang w:val="en-US" w:eastAsia="zh-CN"/>
        </w:rPr>
        <w:t>政府的主要领导，对所在乡</w:t>
      </w:r>
      <w:r>
        <w:rPr>
          <w:rFonts w:hint="eastAsia" w:eastAsia="仿宋_GB2312" w:cs="Times New Roman"/>
          <w:color w:val="auto"/>
          <w:sz w:val="32"/>
          <w:szCs w:val="32"/>
          <w:highlight w:val="none"/>
          <w:lang w:val="en-US" w:eastAsia="zh-CN"/>
        </w:rPr>
        <w:t>（镇）</w:t>
      </w:r>
      <w:r>
        <w:rPr>
          <w:rFonts w:hint="default" w:ascii="Times New Roman" w:hAnsi="Times New Roman" w:eastAsia="仿宋_GB2312" w:cs="Times New Roman"/>
          <w:color w:val="auto"/>
          <w:sz w:val="32"/>
          <w:szCs w:val="32"/>
          <w:highlight w:val="none"/>
          <w:lang w:val="en-US" w:eastAsia="zh-CN"/>
        </w:rPr>
        <w:t xml:space="preserve">政府分管领导实施问责；所约谈情况均在县级媒体上曝光，并在全县范围内通报。 </w:t>
      </w:r>
    </w:p>
    <w:p>
      <w:pPr>
        <w:keepNext w:val="0"/>
        <w:keepLines w:val="0"/>
        <w:pageBreakBefore w:val="0"/>
        <w:widowControl w:val="0"/>
        <w:kinsoku/>
        <w:wordWrap w:val="0"/>
        <w:overflowPunct/>
        <w:topLinePunct w:val="0"/>
        <w:autoSpaceDE/>
        <w:autoSpaceDN/>
        <w:bidi w:val="0"/>
        <w:adjustRightInd w:val="0"/>
        <w:snapToGrid/>
        <w:spacing w:beforeAutospacing="0" w:afterAutospacing="0" w:line="360" w:lineRule="auto"/>
        <w:ind w:firstLine="560" w:firstLineChars="200"/>
        <w:textAlignment w:val="auto"/>
        <w:rPr>
          <w:rFonts w:hint="eastAsia"/>
          <w:sz w:val="28"/>
          <w:szCs w:val="28"/>
          <w:highlight w:val="yellow"/>
          <w:lang w:val="en-US" w:eastAsia="zh-CN"/>
        </w:rPr>
      </w:pPr>
    </w:p>
    <w:p>
      <w:pPr>
        <w:keepNext w:val="0"/>
        <w:keepLines w:val="0"/>
        <w:pageBreakBefore w:val="0"/>
        <w:widowControl w:val="0"/>
        <w:kinsoku/>
        <w:wordWrap w:val="0"/>
        <w:overflowPunct/>
        <w:topLinePunct w:val="0"/>
        <w:autoSpaceDE/>
        <w:autoSpaceDN/>
        <w:bidi w:val="0"/>
        <w:adjustRightInd w:val="0"/>
        <w:snapToGrid/>
        <w:textAlignment w:val="auto"/>
        <w:rPr>
          <w:rFonts w:hint="eastAsia"/>
          <w:sz w:val="28"/>
          <w:szCs w:val="28"/>
          <w:lang w:val="en-US" w:eastAsia="zh-CN"/>
        </w:rPr>
      </w:pPr>
      <w:r>
        <w:rPr>
          <w:rFonts w:hint="eastAsia"/>
          <w:sz w:val="28"/>
          <w:szCs w:val="28"/>
          <w:lang w:val="en-US" w:eastAsia="zh-CN"/>
        </w:rPr>
        <w:br w:type="page"/>
      </w:r>
    </w:p>
    <w:p>
      <w:pPr>
        <w:outlineLvl w:val="0"/>
        <w:rPr>
          <w:rFonts w:hint="eastAsia"/>
          <w:sz w:val="28"/>
          <w:szCs w:val="28"/>
          <w:lang w:val="en-US" w:eastAsia="zh-CN"/>
        </w:rPr>
      </w:pPr>
      <w:bookmarkStart w:id="19" w:name="_Toc30545"/>
      <w:bookmarkEnd w:id="19"/>
      <w:r>
        <w:rPr>
          <w:rStyle w:val="25"/>
          <w:rFonts w:hint="eastAsia" w:ascii="黑体" w:hAnsi="黑体" w:eastAsia="黑体" w:cs="黑体"/>
          <w:b w:val="0"/>
          <w:bCs/>
          <w:lang w:val="en-US" w:eastAsia="zh-CN"/>
        </w:rPr>
        <w:t xml:space="preserve">附表1 </w:t>
      </w:r>
    </w:p>
    <w:p>
      <w:pPr>
        <w:jc w:val="center"/>
        <w:rPr>
          <w:rFonts w:hint="eastAsia"/>
          <w:sz w:val="28"/>
          <w:szCs w:val="28"/>
          <w:lang w:val="en-US" w:eastAsia="zh-CN"/>
        </w:rPr>
      </w:pPr>
    </w:p>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兴安县秸秆禁烧区统计表</w:t>
      </w:r>
    </w:p>
    <w:tbl>
      <w:tblPr>
        <w:tblStyle w:val="10"/>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675"/>
        <w:gridCol w:w="810"/>
        <w:gridCol w:w="1644"/>
        <w:gridCol w:w="972"/>
        <w:gridCol w:w="972"/>
        <w:gridCol w:w="779"/>
        <w:gridCol w:w="781"/>
        <w:gridCol w:w="77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序号</w:t>
            </w:r>
          </w:p>
        </w:tc>
        <w:tc>
          <w:tcPr>
            <w:tcW w:w="675"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设区市</w:t>
            </w:r>
          </w:p>
        </w:tc>
        <w:tc>
          <w:tcPr>
            <w:tcW w:w="810"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县（市、区）</w:t>
            </w:r>
          </w:p>
        </w:tc>
        <w:tc>
          <w:tcPr>
            <w:tcW w:w="1644"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乡（镇）</w:t>
            </w:r>
          </w:p>
        </w:tc>
        <w:tc>
          <w:tcPr>
            <w:tcW w:w="972"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行政区划面积（km</w:t>
            </w:r>
            <w:r>
              <w:rPr>
                <w:rFonts w:hint="eastAsia"/>
                <w:sz w:val="21"/>
                <w:szCs w:val="21"/>
                <w:vertAlign w:val="superscript"/>
                <w:lang w:val="en-US" w:eastAsia="zh-CN"/>
              </w:rPr>
              <w:t>2</w:t>
            </w:r>
            <w:r>
              <w:rPr>
                <w:rFonts w:hint="eastAsia"/>
                <w:sz w:val="21"/>
                <w:szCs w:val="21"/>
                <w:vertAlign w:val="baseline"/>
                <w:lang w:val="en-US" w:eastAsia="zh-CN"/>
              </w:rPr>
              <w:t>）</w:t>
            </w:r>
          </w:p>
        </w:tc>
        <w:tc>
          <w:tcPr>
            <w:tcW w:w="972"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禁烧区面积（km</w:t>
            </w:r>
            <w:r>
              <w:rPr>
                <w:rFonts w:hint="eastAsia"/>
                <w:sz w:val="21"/>
                <w:szCs w:val="21"/>
                <w:vertAlign w:val="superscript"/>
                <w:lang w:val="en-US" w:eastAsia="zh-CN"/>
              </w:rPr>
              <w:t>2</w:t>
            </w:r>
            <w:r>
              <w:rPr>
                <w:rFonts w:hint="eastAsia"/>
                <w:sz w:val="21"/>
                <w:szCs w:val="21"/>
                <w:vertAlign w:val="baseline"/>
                <w:lang w:val="en-US" w:eastAsia="zh-CN"/>
              </w:rPr>
              <w:t>）</w:t>
            </w:r>
          </w:p>
        </w:tc>
        <w:tc>
          <w:tcPr>
            <w:tcW w:w="1560" w:type="dxa"/>
            <w:gridSpan w:val="2"/>
            <w:vAlign w:val="center"/>
          </w:tcPr>
          <w:p>
            <w:pPr>
              <w:jc w:val="center"/>
              <w:rPr>
                <w:rFonts w:hint="eastAsia"/>
                <w:sz w:val="21"/>
                <w:szCs w:val="21"/>
                <w:vertAlign w:val="baseline"/>
                <w:lang w:val="en-US" w:eastAsia="zh-CN"/>
              </w:rPr>
            </w:pPr>
            <w:r>
              <w:rPr>
                <w:rFonts w:hint="eastAsia"/>
                <w:sz w:val="21"/>
                <w:szCs w:val="21"/>
                <w:vertAlign w:val="baseline"/>
                <w:lang w:val="en-US" w:eastAsia="zh-CN"/>
              </w:rPr>
              <w:t>边界点地理坐标</w:t>
            </w:r>
          </w:p>
        </w:tc>
        <w:tc>
          <w:tcPr>
            <w:tcW w:w="779"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主要农作物种类</w:t>
            </w:r>
          </w:p>
        </w:tc>
        <w:tc>
          <w:tcPr>
            <w:tcW w:w="973"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主要农作物种植面积（km</w:t>
            </w:r>
            <w:r>
              <w:rPr>
                <w:rFonts w:hint="eastAsia"/>
                <w:sz w:val="21"/>
                <w:szCs w:val="21"/>
                <w:vertAlign w:val="superscript"/>
                <w:lang w:val="en-US" w:eastAsia="zh-CN"/>
              </w:rPr>
              <w:t>2</w:t>
            </w: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Merge w:val="continue"/>
            <w:vAlign w:val="center"/>
          </w:tcPr>
          <w:p>
            <w:pPr>
              <w:jc w:val="center"/>
              <w:rPr>
                <w:rFonts w:hint="eastAsia"/>
                <w:sz w:val="21"/>
                <w:szCs w:val="21"/>
                <w:vertAlign w:val="baseline"/>
                <w:lang w:val="en-US" w:eastAsia="zh-CN"/>
              </w:rPr>
            </w:pP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Merge w:val="continue"/>
            <w:vAlign w:val="center"/>
          </w:tcPr>
          <w:p>
            <w:pPr>
              <w:jc w:val="center"/>
              <w:rPr>
                <w:rFonts w:hint="eastAsia"/>
                <w:sz w:val="21"/>
                <w:szCs w:val="21"/>
                <w:vertAlign w:val="baseline"/>
                <w:lang w:val="en-US" w:eastAsia="zh-CN"/>
              </w:rPr>
            </w:pPr>
          </w:p>
        </w:tc>
        <w:tc>
          <w:tcPr>
            <w:tcW w:w="972" w:type="dxa"/>
            <w:vMerge w:val="continue"/>
            <w:vAlign w:val="center"/>
          </w:tcPr>
          <w:p>
            <w:pPr>
              <w:jc w:val="center"/>
              <w:rPr>
                <w:rFonts w:hint="eastAsia"/>
                <w:sz w:val="21"/>
                <w:szCs w:val="21"/>
                <w:vertAlign w:val="baseline"/>
                <w:lang w:val="en-US" w:eastAsia="zh-CN"/>
              </w:rPr>
            </w:pPr>
          </w:p>
        </w:tc>
        <w:tc>
          <w:tcPr>
            <w:tcW w:w="972" w:type="dxa"/>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经度</w:t>
            </w:r>
          </w:p>
        </w:tc>
        <w:tc>
          <w:tcPr>
            <w:tcW w:w="781"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纬度</w:t>
            </w:r>
          </w:p>
        </w:tc>
        <w:tc>
          <w:tcPr>
            <w:tcW w:w="779" w:type="dxa"/>
            <w:vMerge w:val="continue"/>
            <w:vAlign w:val="center"/>
          </w:tcPr>
          <w:p>
            <w:pPr>
              <w:jc w:val="center"/>
              <w:rPr>
                <w:rFonts w:hint="eastAsia"/>
                <w:sz w:val="21"/>
                <w:szCs w:val="21"/>
                <w:vertAlign w:val="baseline"/>
                <w:lang w:val="en-US" w:eastAsia="zh-CN"/>
              </w:rPr>
            </w:pPr>
          </w:p>
        </w:tc>
        <w:tc>
          <w:tcPr>
            <w:tcW w:w="973" w:type="dxa"/>
            <w:vMerge w:val="continue"/>
            <w:vAlign w:val="center"/>
          </w:tcPr>
          <w:p>
            <w:pPr>
              <w:jc w:val="center"/>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1</w:t>
            </w:r>
          </w:p>
        </w:tc>
        <w:tc>
          <w:tcPr>
            <w:tcW w:w="675"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桂林市</w:t>
            </w:r>
          </w:p>
        </w:tc>
        <w:tc>
          <w:tcPr>
            <w:tcW w:w="810"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兴安县</w:t>
            </w: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兴安镇（全域）</w:t>
            </w:r>
          </w:p>
        </w:tc>
        <w:tc>
          <w:tcPr>
            <w:tcW w:w="972"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203.83</w:t>
            </w:r>
          </w:p>
        </w:tc>
        <w:tc>
          <w:tcPr>
            <w:tcW w:w="972"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203.83</w:t>
            </w:r>
          </w:p>
        </w:tc>
        <w:tc>
          <w:tcPr>
            <w:tcW w:w="1560" w:type="dxa"/>
            <w:gridSpan w:val="2"/>
            <w:vMerge w:val="restart"/>
            <w:vAlign w:val="center"/>
          </w:tcPr>
          <w:p>
            <w:pPr>
              <w:jc w:val="center"/>
              <w:rPr>
                <w:rFonts w:hint="default"/>
                <w:sz w:val="21"/>
                <w:szCs w:val="21"/>
                <w:vertAlign w:val="baseline"/>
                <w:lang w:val="en-US" w:eastAsia="zh-CN"/>
              </w:rPr>
            </w:pPr>
            <w:r>
              <w:rPr>
                <w:rFonts w:hint="eastAsia"/>
                <w:sz w:val="21"/>
                <w:szCs w:val="21"/>
                <w:vertAlign w:val="baseline"/>
                <w:lang w:val="en-US" w:eastAsia="zh-CN"/>
              </w:rPr>
              <w:t>详见附表1-2 秸秆禁烧区边界拐点坐标</w:t>
            </w:r>
          </w:p>
        </w:tc>
        <w:tc>
          <w:tcPr>
            <w:tcW w:w="779"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33.07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2</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界首镇（全域）</w:t>
            </w:r>
          </w:p>
        </w:tc>
        <w:tc>
          <w:tcPr>
            <w:tcW w:w="972"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170.54</w:t>
            </w:r>
          </w:p>
        </w:tc>
        <w:tc>
          <w:tcPr>
            <w:tcW w:w="972"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170.54</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28.93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3</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溶江镇</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473.53</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316.32</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27.92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4</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湘漓镇（全域）</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159.59</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159.59</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39.80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5</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高尚镇</w:t>
            </w:r>
          </w:p>
        </w:tc>
        <w:tc>
          <w:tcPr>
            <w:tcW w:w="972"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267.52</w:t>
            </w:r>
          </w:p>
        </w:tc>
        <w:tc>
          <w:tcPr>
            <w:tcW w:w="972"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175.46</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sz w:val="21"/>
                <w:szCs w:val="21"/>
                <w:vertAlign w:val="baseline"/>
                <w:lang w:val="en-US" w:eastAsia="zh-CN"/>
              </w:rPr>
              <w:t>27.42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6</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严关镇（全域）</w:t>
            </w:r>
          </w:p>
        </w:tc>
        <w:tc>
          <w:tcPr>
            <w:tcW w:w="972"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120.65</w:t>
            </w:r>
          </w:p>
        </w:tc>
        <w:tc>
          <w:tcPr>
            <w:tcW w:w="972"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120.65</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7</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华江瑶族乡</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437.58</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301.98</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8</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崔家乡（全域）</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96.43</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96.43</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21.73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9</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漠川乡</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302.26</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170.21</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10</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白石乡</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86.44</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81.11</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11</w:t>
            </w:r>
          </w:p>
        </w:tc>
        <w:tc>
          <w:tcPr>
            <w:tcW w:w="675" w:type="dxa"/>
            <w:vMerge w:val="continue"/>
            <w:vAlign w:val="center"/>
          </w:tcPr>
          <w:p>
            <w:pPr>
              <w:jc w:val="center"/>
              <w:rPr>
                <w:rFonts w:hint="eastAsia"/>
                <w:sz w:val="21"/>
                <w:szCs w:val="21"/>
                <w:vertAlign w:val="baseline"/>
                <w:lang w:val="en-US" w:eastAsia="zh-CN"/>
              </w:rPr>
            </w:pPr>
          </w:p>
        </w:tc>
        <w:tc>
          <w:tcPr>
            <w:tcW w:w="810" w:type="dxa"/>
            <w:vMerge w:val="continue"/>
            <w:vAlign w:val="center"/>
          </w:tcPr>
          <w:p>
            <w:pPr>
              <w:jc w:val="center"/>
              <w:rPr>
                <w:rFonts w:hint="eastAsia"/>
                <w:sz w:val="21"/>
                <w:szCs w:val="21"/>
                <w:vertAlign w:val="baseline"/>
                <w:lang w:val="en-US" w:eastAsia="zh-CN"/>
              </w:rPr>
            </w:pPr>
          </w:p>
        </w:tc>
        <w:tc>
          <w:tcPr>
            <w:tcW w:w="1644"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摩天岭林场</w:t>
            </w:r>
          </w:p>
          <w:p>
            <w:pPr>
              <w:jc w:val="center"/>
              <w:rPr>
                <w:rFonts w:hint="eastAsia"/>
                <w:sz w:val="21"/>
                <w:szCs w:val="21"/>
                <w:vertAlign w:val="baseline"/>
                <w:lang w:val="en-US" w:eastAsia="zh-CN"/>
              </w:rPr>
            </w:pPr>
            <w:r>
              <w:rPr>
                <w:rFonts w:hint="eastAsia"/>
                <w:sz w:val="21"/>
                <w:szCs w:val="21"/>
                <w:vertAlign w:val="baseline"/>
                <w:lang w:val="en-US" w:eastAsia="zh-CN"/>
              </w:rPr>
              <w:t>（全域）</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14.23</w:t>
            </w:r>
          </w:p>
        </w:tc>
        <w:tc>
          <w:tcPr>
            <w:tcW w:w="97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14.23</w:t>
            </w:r>
          </w:p>
        </w:tc>
        <w:tc>
          <w:tcPr>
            <w:tcW w:w="1560" w:type="dxa"/>
            <w:gridSpan w:val="2"/>
            <w:vMerge w:val="continue"/>
            <w:vAlign w:val="center"/>
          </w:tcPr>
          <w:p>
            <w:pPr>
              <w:jc w:val="center"/>
              <w:rPr>
                <w:rFonts w:hint="eastAsia"/>
                <w:sz w:val="21"/>
                <w:szCs w:val="21"/>
                <w:vertAlign w:val="baseline"/>
                <w:lang w:val="en-US" w:eastAsia="zh-CN"/>
              </w:rPr>
            </w:pPr>
          </w:p>
        </w:tc>
        <w:tc>
          <w:tcPr>
            <w:tcW w:w="77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w:t>
            </w:r>
          </w:p>
        </w:tc>
      </w:tr>
    </w:tbl>
    <w:p>
      <w:pPr>
        <w:jc w:val="cente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br w:type="page"/>
      </w:r>
    </w:p>
    <w:p>
      <w:pPr>
        <w:jc w:val="left"/>
        <w:outlineLvl w:val="0"/>
        <w:rPr>
          <w:rFonts w:hint="default"/>
          <w:sz w:val="28"/>
          <w:szCs w:val="28"/>
          <w:lang w:val="en-US" w:eastAsia="zh-CN"/>
        </w:rPr>
      </w:pPr>
      <w:bookmarkStart w:id="20" w:name="_Toc32514"/>
      <w:r>
        <w:rPr>
          <w:rStyle w:val="25"/>
          <w:rFonts w:hint="eastAsia"/>
          <w:lang w:val="en-US" w:eastAsia="zh-CN"/>
        </w:rPr>
        <w:t xml:space="preserve">附表2 </w:t>
      </w:r>
    </w:p>
    <w:p>
      <w:pPr>
        <w:keepNext w:val="0"/>
        <w:keepLines w:val="0"/>
        <w:pageBreakBefore w:val="0"/>
        <w:widowControl w:val="0"/>
        <w:kinsoku/>
        <w:wordWrap/>
        <w:overflowPunct/>
        <w:topLinePunct w:val="0"/>
        <w:autoSpaceDE w:val="0"/>
        <w:autoSpaceDN w:val="0"/>
        <w:bidi w:val="0"/>
        <w:adjustRightInd w:val="0"/>
        <w:snapToGrid/>
        <w:spacing w:beforeLines="0" w:beforeAutospacing="0" w:afterLines="0" w:afterAutospacing="0" w:line="586" w:lineRule="exact"/>
        <w:ind w:left="0" w:leftChars="0" w:right="0" w:rightChars="0" w:firstLine="0" w:firstLineChars="0"/>
        <w:jc w:val="center"/>
        <w:textAlignment w:val="auto"/>
        <w:outlineLvl w:val="9"/>
        <w:rPr>
          <w:rFonts w:hint="default"/>
          <w:sz w:val="28"/>
          <w:szCs w:val="28"/>
          <w:lang w:val="en-US" w:eastAsia="zh-CN"/>
        </w:rPr>
      </w:pPr>
      <w:r>
        <w:rPr>
          <w:rFonts w:hint="eastAsia" w:ascii="方正小标宋_GBK" w:hAnsi="方正小标宋_GBK" w:eastAsia="方正小标宋_GBK" w:cs="方正小标宋_GBK"/>
          <w:sz w:val="44"/>
          <w:szCs w:val="44"/>
          <w:lang w:val="en-US" w:eastAsia="zh-CN"/>
        </w:rPr>
        <w:t>兴安县秸秆禁烧区边界拐点坐标</w:t>
      </w:r>
    </w:p>
    <w:tbl>
      <w:tblPr>
        <w:tblStyle w:val="10"/>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30"/>
        <w:gridCol w:w="1039"/>
        <w:gridCol w:w="683"/>
        <w:gridCol w:w="1130"/>
        <w:gridCol w:w="1039"/>
        <w:gridCol w:w="683"/>
        <w:gridCol w:w="113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39"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编号</w:t>
            </w:r>
          </w:p>
        </w:tc>
        <w:tc>
          <w:tcPr>
            <w:tcW w:w="1130"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经度坐标</w:t>
            </w:r>
          </w:p>
        </w:tc>
        <w:tc>
          <w:tcPr>
            <w:tcW w:w="1039"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纬度坐标</w:t>
            </w:r>
          </w:p>
        </w:tc>
        <w:tc>
          <w:tcPr>
            <w:tcW w:w="683"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编号</w:t>
            </w:r>
          </w:p>
        </w:tc>
        <w:tc>
          <w:tcPr>
            <w:tcW w:w="1130"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经度坐标</w:t>
            </w:r>
          </w:p>
        </w:tc>
        <w:tc>
          <w:tcPr>
            <w:tcW w:w="1039"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纬度坐标</w:t>
            </w:r>
          </w:p>
        </w:tc>
        <w:tc>
          <w:tcPr>
            <w:tcW w:w="683"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编号</w:t>
            </w:r>
          </w:p>
        </w:tc>
        <w:tc>
          <w:tcPr>
            <w:tcW w:w="1130"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经度坐标</w:t>
            </w:r>
          </w:p>
        </w:tc>
        <w:tc>
          <w:tcPr>
            <w:tcW w:w="1040" w:type="dxa"/>
            <w:vAlign w:val="center"/>
          </w:tcPr>
          <w:p>
            <w:pPr>
              <w:keepNext w:val="0"/>
              <w:keepLines w:val="0"/>
              <w:pageBreakBefore w:val="0"/>
              <w:kinsoku/>
              <w:wordWrap/>
              <w:overflowPunct/>
              <w:topLinePunct w:val="0"/>
              <w:autoSpaceDE w:val="0"/>
              <w:autoSpaceDN w:val="0"/>
              <w:bidi w:val="0"/>
              <w:adjustRightInd w:val="0"/>
              <w:snapToGrid/>
              <w:spacing w:beforeAutospacing="0" w:afterAutospacing="0" w:line="300" w:lineRule="exact"/>
              <w:jc w:val="center"/>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纬度坐标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2858844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37433399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2848104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37433394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37435454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37431947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37433581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37435351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37433735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37435297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2857911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37435231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37433765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37435272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37433825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37432469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2857635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37435421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2857444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37435376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2857334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37434165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37435257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2857339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37433041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2859382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37435121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2857162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37433085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2857034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37434138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37433137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2856987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37434997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2856911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2856782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37433761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37433683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37434965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37433580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37433643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37433696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37434729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37433893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37434620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2859811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2856187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37434242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2859848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2856139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37433782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37434748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37434359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2856089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37433849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37434904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37434187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2856048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37434047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37435196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37434021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2855755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37433900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37435297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2855637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37433858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2855485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2859440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2855492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2855346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2859312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37434004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37435470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2859241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37434299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37435497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2859137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2855116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2859026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2855011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37434679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37438327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2855782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37439883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37434948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37438293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37440147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37435065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37438197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2856307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37440271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37438154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2856573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37440315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37438094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2856667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37440606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37437872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2856837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37440782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37437796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2856886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37440896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37435663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37437772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2856962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37440947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37435790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37437680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2857174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37440972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37435827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37437721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37441068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37436003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37437869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2857399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37441096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37437896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37441193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37436365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37437922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2857586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37441227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37436424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37437959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2857701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37436481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37438046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37436578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2852443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37438108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2857927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37441577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37436568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37438153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37441497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37436651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2852791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37438223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37436646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37438417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2858282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37441588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37436648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37441497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37436643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37438596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37441647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37436697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37438754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37441672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37436721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37438797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37441813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37436873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2853560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37438827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2858910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37441871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37436971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2853712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37438945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2859038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37441921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37437150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2853843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37439110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2859190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37441897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37437144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37439147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37441797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37437346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37439189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2859351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37441841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37439306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37441936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37437609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37439443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37442011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37437803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2854212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37439505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37442095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37437946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2854262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37439454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2859802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37442136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37438047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2854286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37439393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2859890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37442247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37438146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37439398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2859999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37442423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37439391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2860160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37442539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37438524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2854662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37442618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37438612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2854849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37439518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2860601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37442647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37438685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2854954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2860711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37442713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37438734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2855095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37439575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2860888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37442797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37438559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2855177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37439646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2861112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37442868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37438485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2855368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37439672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2861186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37442967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37438388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2855552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37439738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2861393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37443076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37443198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2865548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2866435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37447608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37443363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2865758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37446644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2866367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37447460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37443466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2865807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37446697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2866237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37447185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37443568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2865877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37446735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2866119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37446921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2865836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37446796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2866086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37446766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37443676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2865897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37446917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2866048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37446672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37443846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2866055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37446992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2865890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37446592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37443821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2866139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37447046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2865861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37446622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37443747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2866208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37447145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2865814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37446656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37443778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2866245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37447213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2865741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37446555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37443861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2866322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37447377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2865644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37446491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37444004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2866476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37447562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2865410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37446352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37444072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37447644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2865413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37446106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37444168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2866478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37447696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2865365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37445868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37444216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2866580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37447721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2865286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37445807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2866677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37447802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2865234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37445772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2866779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37447956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2865067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37445741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37444526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2866919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2865034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37445633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37444594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2866981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2864787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37445391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37444677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2867109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2864586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37445130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37444907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2867141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37448072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2864443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37445088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2867283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2864311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2867214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37448162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2864202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37445150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37445371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2867287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37448293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2864140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37445143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37445522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2867311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37448347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2864062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37445652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37448391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2863693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37445997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37448467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2863612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37445090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37446021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37448638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2863584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37445186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37446122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37448672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2863487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37448709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2863182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37446297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37448772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37445293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37446343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2867686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37448841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2862917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37445241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37446492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2867620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37449004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2862886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37445100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2867517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37449122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37444831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37449134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37444569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37446481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2867359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37449096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37444285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37446580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2867172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37448900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2862568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37444122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2867123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37448656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2862535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37443780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37446462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2867055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37448378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2862567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37443472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37446369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2866935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37443222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37446396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2866711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37447836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2862922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37443094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2866562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37447690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2863148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37442837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37443062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37437893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37432761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37443184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2855734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37437693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2847466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37432658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37443224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2855439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37437421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37432516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37443217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2855257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37437176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2847321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37443146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2854987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37436919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37443103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2854761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37436585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37432269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2854553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37436161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2847170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37435922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37432199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37442793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37432257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37442684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2853707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37435151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2853462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2846969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2853430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37442540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2853165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2847287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37432425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2847371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37432477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2847481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2852449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37442468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37442356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2851951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37433380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37442036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37441810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37432922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37433245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37433250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37433310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2850743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37431939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2849142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37433106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37441411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37431770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2849222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37433047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37441212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37431607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2849308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37433022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37440996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37431358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37432997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37440833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2849987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37431234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37440594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37431195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37432524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37440282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37431200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37432261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37431252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37432033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37440096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37431422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37431909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37439972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37431631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37439703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37439465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2848606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37489409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37439211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37432240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37438921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37438859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37489409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37438725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37489409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37438456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2847623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37468759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37438194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37432863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37468946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37488151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37486622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37488144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37469209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2813373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37486672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37488242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37469327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37486747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37469209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37486863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37488244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37486934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37468893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37486959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37468749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37486959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37488261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2811698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37486998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37488421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37487358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37488563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37487459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2820907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37488703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37487532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37489028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37468541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37487596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37468258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37487706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2821013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37468147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37487797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2821063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37467999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37489308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37467609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37489043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37467446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37488974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37467226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37488534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37466995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2811770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37488336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2820651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37488440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37466997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2811886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37488446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37488448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37466995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2812027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37488598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37488393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37467024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2812146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37488644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37488309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37467290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37488794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37488265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37467515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37488890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2821043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37468017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2812919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37489082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37468146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37489109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37468485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2813324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37489168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37487950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37489268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37488028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37468759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37487919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37489284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37489160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37488978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2819905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37488766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37487696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37488439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2819104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37487843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2818706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2821199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37487963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2821155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2818416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2821089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37487721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2818386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37488168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2821034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37488007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2818071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2817805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37488290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37486747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37481974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37486618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37481851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2806237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37481820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2810811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37481659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2806340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37481540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37481387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37487775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37486134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2806342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37481218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2810064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37485926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37480917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37487784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37485847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37480780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37485735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2809574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37480402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37487852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2809399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37480332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37485289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2806724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37480176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37480142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37485005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37479959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37484922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37479922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2808124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2807047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37479867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2807969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37479705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2807856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37484582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37479550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2807262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37479434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2807686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37484469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2807287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37479397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2807635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37484360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2807404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37479346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2807586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2807584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37479322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2807499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37479295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2807511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37479196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2807465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37479119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2806973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37483455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2807285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37478995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37483347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2807211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37478713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37487946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2806637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37483150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37478533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37478353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37487659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37483069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37478074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37487530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37477813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37487422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37482701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37477566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2806487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37477427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37487235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2806448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37487187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2806403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37482411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37477367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37487092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37482352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2806743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37477406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37486957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2806433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37482293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2806658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37477490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37486784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2806301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37482132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2806582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37477637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37477871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2806250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37483299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37483038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37478225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2806378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37484377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2809826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37482768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37484605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37482627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2806687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37484847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37484959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37478143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2809975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37482720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37477950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2810211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37482892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2807778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37485451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2810577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2808075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37485445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2810744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37483081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2808353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37485484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37478238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2808554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37485557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2811322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37483333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37483561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2811722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37485701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37479435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37485554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37484001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37479583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37484217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37479735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37485530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2812749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37484497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37479846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2812975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37484732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37479909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37484935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2813521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37485278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37485932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37486286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2813977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37485871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37480507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2809515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37485988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37480820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2814270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37486294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37481072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2814432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37485960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37481260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37485714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2814647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37486434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37481497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37471259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37481630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37485050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2815284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37471363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37481896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37484842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2815625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37471621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37482160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2815846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37471808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37482314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2809569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37484649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2816085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37472049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37484363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37472395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37472741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2816993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37472997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37483095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2809104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2817217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2809396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2817424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37483482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2817502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37473487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2809806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37473726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37474117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2802128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37474319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37471897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37474367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37474229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2800437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37471772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37474597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37474146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2800461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37471696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37474122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37471512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37474858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37471397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2802308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37471293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2802657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37473696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37471259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37475282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2802897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37473619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37448209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37475537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2803120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37448243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37475887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37448647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37476192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2803315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2800715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37449022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2800706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37449356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37476684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2803186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37473081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2800715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37449546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37476784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2803124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37472837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37449672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37476800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2802895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37472739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37450086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37476766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37472604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2800581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37450320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37476649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2802421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37472455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37450779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37476611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2802298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37472274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37451237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37476548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37472164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37476538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37471998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37452455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37476588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2801632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37471994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37452790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2801462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2800833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37453293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37471872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2800917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37453680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2801338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37471900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2800999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37454069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37476352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2801163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2801110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37454541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37476124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2801149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37472012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2801199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37475916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2801264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37455427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37475771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2801212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37472149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2801334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37475747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2801111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37472114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2801399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37475698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2801020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37472147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2801461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37455504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37475690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2800886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37472142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2801558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37455612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37475705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2800626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37472196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37455897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2800566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37472297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2801611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37472326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2801734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37475221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37472404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2801846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2800461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37472396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37474896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2800437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37472400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37474847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37472305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37456006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37474822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2800412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37472245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37456118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37474753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2800408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37456208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37474541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2800437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37456286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37474419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2800502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37471991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2802004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37456324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37459959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2857103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37458797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37456605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2856892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37458772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37456697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37458716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37456944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37458771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2856686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37458861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37457147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2856654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37458809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2856542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37458897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37457298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37458921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2856374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37459035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37459083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37459173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2856098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37459244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2856037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37459305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37457976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2858373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2855888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37458257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2855811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37459701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37458284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2855762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37459918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37458478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2855468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37459948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37458541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2855365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37460067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37458584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2855312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37460202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37458603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37460335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37458577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2855201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37460400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37458659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37459499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2854817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37460445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37458731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37459463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2854711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37460523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37458910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37459514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37460516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37458934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2854286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37460579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37460731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37460777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37460971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37459262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2853825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37461140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37459340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2853710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37461218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37459246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37461273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37459215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2853457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37461320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37459123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37461511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2857938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37461570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37459739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37461634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2857679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37459047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2853286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37461690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37459916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2857567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37458897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2853026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37461773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37459948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2857403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37458895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37461846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37460074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37458930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37461961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37460134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2857175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37458881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2852647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37462096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37458847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37462172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37462221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37464961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2850720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37467871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37462323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2852435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37465022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2850664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37468047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37462371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37465046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37468258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37462419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2852535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37465296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37468354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37462522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37468534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37465261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2850061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37468686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37468898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37462879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2849687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37469096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37465173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2849478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37469296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2853161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37465174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2849354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37469375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2853209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37465010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37469490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2853286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37469572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2853258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37465121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2849090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2853145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37465168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2848941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37470165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37463128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37465219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37470320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37463304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2853132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37470327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37465422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37470285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37463501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37465446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37470228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37463719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37465575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37463772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37465570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2848541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37470371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37463797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37465598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37470435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37463871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2852790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37465690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37470542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37463937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37470634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37463996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2852586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37465770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2848235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37470765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37464069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2852518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37465872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37470830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37464117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2852416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37465967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2847940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37470994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37464221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37466022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37471022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37464428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2852328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37466053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37471046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37464517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37466230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2847631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37471226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37464548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2852047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37471327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2847687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37471635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37466602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37471672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37466738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37471684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37466897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37471697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37467277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37471793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37467432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2847594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37471822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2847511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37471859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37464614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37467522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37471897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37464670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2850869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37467564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2847347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37471970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37464708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2850748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37467678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2847225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37464833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2850652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37467797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37472093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37472192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37474196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37472413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2848572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37474247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37476458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37472568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37474290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37476573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37472694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37474503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2850182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37476522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37472838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37474589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37476512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37472881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2848241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37474812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2850313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37476859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37472976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2848210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37474977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37477042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37477123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37475054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37477245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37475202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37477648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2850739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37477756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37473552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2847961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2850786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37477932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37473633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37478016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37473696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37475248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37478272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37473588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37475298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37478284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37473598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2848212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37475415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2850993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37478330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37473494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37475446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37478532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37473448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2848476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37475498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37478673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2848514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37478883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37474043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2848758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37475589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37478969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37474121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2848962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37475716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37478984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37474220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2849186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37475746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37479141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37474248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37475825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2851305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37479208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37474288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2849327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37476023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37479287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37474348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37476095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2851376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37479372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37474402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37476173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37479510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37474446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2849683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37476246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37479671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37474121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2849711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37476284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37479559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37474041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2849755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37476284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37479514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37474048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37479626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37474043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37479780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37474115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2849951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37479865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37474035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2850020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37476273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37479772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37473929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2849961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37476248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37479677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2849937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37479735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37473698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2850073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37476388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37479894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37473803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37476488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37479922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37476520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2851781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37480189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37473911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37474090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37476384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37478816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2845515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37478876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2845483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37483244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37478998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2845488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37483371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37478965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2845426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37483492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2845348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37483587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37479224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2845211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37479294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2848212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37479322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2845061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37483943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37479431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2845112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2847938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37479503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2844788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37484265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37479891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37479632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2844783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37479433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37479756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2844822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37479888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2845026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37478757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2845129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37478615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2844956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37477695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2844861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37477511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2847975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2844808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37477433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2847900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2844703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2844585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37483745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37480622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2844611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2847798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37480764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2844686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37477104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2847584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37480797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2844662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37477018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2847291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37480809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2844649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37476926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37480873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2844637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37476921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37480942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2844565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37483680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37476986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2846780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37481094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2844487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37483601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37477035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2846687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37481205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2844460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37477093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2846564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37481296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2844336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37477148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2846535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37481349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2844311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37483845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2846542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37481492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37477711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2846443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37481731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37481821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2844237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2846484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37481872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37483886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37478357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2846290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37481993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2844324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37482218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2844214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37478698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2846233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37482247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37483888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37478693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2846115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2846028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37482322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2845936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37482432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2844055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37478819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2845808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37478824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2845699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2844182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37483951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2840311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2840245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37481047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2835115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2840005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37481040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2834751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37480075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2839912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37481072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2834559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2839697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37479947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2839574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37481107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37479942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37483551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2839463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2834166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37479995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37483467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2839435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2834086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37483372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2839386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37480921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2839319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37480797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2834011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37483163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2839245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37480608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2833950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37480262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2839188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2833812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37480307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2833711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37483142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2839084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2833523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37483150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2838696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2833375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2838580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2833243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37480602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2833178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37480746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2838440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2833044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37480619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37482899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37480693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2832973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37482846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2838337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37480721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2832886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37480424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37482798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2838188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37480807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2832746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2838148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37480771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2832712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37480202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2838107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37480735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2832527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37480051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2838012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37480647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37480043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37482542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2837920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2832362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37482420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2837760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37482424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2832212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37482305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2837530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37482272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2837461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37480224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37482128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2837284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2831897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37480345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37482083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2837145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2831737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37480294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37481875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2836990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37481780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2836865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2831613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37480260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37481718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2836675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37480338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37481572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2836579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2831487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37481627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2836315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2831268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37481746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2836139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2831159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2836061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2831038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37481626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2835969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2830908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37481497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2835761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2830663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37481336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2835562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2830592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37480622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37481232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2835297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2824347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37472772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37483289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37472796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37482896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2820105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37473036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37480497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2819770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37473169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37480634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2823920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37482044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2819138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37480986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2823875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37481434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37473250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2824061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37480916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2818094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2817472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37473269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37481268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37479683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2817163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37481404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2824332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37481697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37478596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37481828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2816133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37482166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37477224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2815764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37473308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37482320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37476700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2815542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37473132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37482347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2815438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37472891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37482395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2824062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37475998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2815275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37472590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2824060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37475609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37482833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2824311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37475609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37471771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37471544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37471321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37483321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37470962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2824107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37470703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2823948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37470458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37483696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2823886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37483912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2823891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2814121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37469995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2823849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37475316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37469822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2823811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37475235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2823787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37475154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37484317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2823668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37470085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2823637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37470219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37484586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2823531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2812631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37484655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2823566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2812437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37484762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2823532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37474998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2812191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37470233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2823366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37474879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37470104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2823287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37474658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37469866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2823161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37474427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37484809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37474241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37469358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37474068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37469208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37484411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2822346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37473751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37468811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37473486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37468721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37468572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37459641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37468459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37468396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37462772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37468237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37459692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37468170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2807615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37468173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37468079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2807840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37459585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37468046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37462571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37467996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2808505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37467966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37462709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2808766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37467872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2809023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37467846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37463226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2809188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37467702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37463369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2809342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37467479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37463204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37459844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37467386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2809914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37459819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37467179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2810204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37467072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2810366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37466960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37466922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37459786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37466797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37463248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37459677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37466501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37463079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37459668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2811764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37466459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2812052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37466325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37459686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37466024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2812542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37459591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37465786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2804281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37462957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2812685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37459714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37465558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37465434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37462844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37462851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2813316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37465399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37459574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37459533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37465402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2805398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2814310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2814499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37459404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37465222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37459387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37464891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37462387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37459220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37461897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37459196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37464497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37460964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37458984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37464170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37460358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2814715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37458948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37463893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2806039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37460059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2814749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37458892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37463352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37459969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37458771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37458747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37454564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37456899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37458539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37454167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37456894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37458448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37454022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37457030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37458295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2804678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37454139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37457096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37458129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37454093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37457160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37457972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37454020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37457221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37453635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37457506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37453511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37457633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37457674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37453397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37453317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2810002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37457619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37453353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2810102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37457298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37453230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37457046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37453184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37457610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37456936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37453197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37457742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37453243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2810554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37456236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37453304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2810703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37456054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37453502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37455697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37457853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2805721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37453476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2811676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37457802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37453584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37453824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37454950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2806084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37453908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37457476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37453985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37454306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37457501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37454613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2812994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37457467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37454872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2806611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37457661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2806730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2813198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37457532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37455272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2806801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37455302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2807247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37455583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37455264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2807599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37455834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37455279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2807849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37456091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2813051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37457528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37455267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2808044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37456329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37457674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37457828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2812252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37457243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37454871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2808584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2812186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37456809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37454841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37456709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37456395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37454674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2808928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37456858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37456021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2816097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37451745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37454671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37451750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37450416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37454166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2816779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37451743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2821109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37450296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37453694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2817077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37451864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2821256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37450226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37453305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2817340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37451977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2821357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37450137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37452918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37451970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2821470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37450017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2818012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37451902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37449846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37452080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2818293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37451952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2821834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37449811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37452143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2822066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37449758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2822187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37449671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37452233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2822216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37449534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2822269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37449397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37452198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37449214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37452172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2822507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37449066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2819500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37452297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2822536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37448878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37452321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2822668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37448834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37452065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2822653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37448718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2819574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37452022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37448566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37451956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2822502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37448398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37450883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2819600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37448272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2819677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2822380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37448115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2819742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37451722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37447932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37451073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2819808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2822189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37447773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37451071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2822136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37447498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37451097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37451573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37447454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37451121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2819962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37451547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37447310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37451222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2819986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37451473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2821970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37447373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2820012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37451426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37447396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37451345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2820046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37451170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37447256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37451371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37451111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37447112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2820211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37451067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37447062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37451499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2820239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37451022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37447156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37447118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37451590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37447007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2820262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37450755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37446898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37451680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2820347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2821353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37446846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37446798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2820461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37446771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37446748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37451749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2820585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37446551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37451745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37446459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37451753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37446423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37446361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2819915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37444259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37442225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37444259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2824199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37442209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37446234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37444223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2824228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37442195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37446110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37444198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2824288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37442146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37445394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2820032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37444032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2824324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37442112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37444912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2820178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37443900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2824401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37442147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37443868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2824626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37442013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37443899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2824762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37441822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37444311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37443758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2824862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37441764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37444548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2820535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37443785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2825081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37441629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37444870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37443601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2825193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37444934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2825360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37441421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37444946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2825524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37441321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2825524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37441124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37445103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2825549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37441029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2821440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2825695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37440971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37445078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37443651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2825794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37440922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37445069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2826014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37440871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2821881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2826145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37440844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2821968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37443784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2826129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37440765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2822112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37443904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2826141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37440697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2822161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37443998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2826359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37440333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37445321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37443991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2826425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37440216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37445348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2822311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37443772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2826520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37440122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37445431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2822498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37443584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2826501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37440092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2822611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37443336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2826527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37439997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2822648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37443273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2826563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37439918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2822550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37443194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2826597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37439872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37444882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2822649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37443057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2826675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37439751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37444833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2822810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2826813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37439722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37444599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37442784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2826883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37439673</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37444546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37442720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2826910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37439637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37444460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37442698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2826954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37439444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2823186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37442786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2827109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37439448</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37444521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2823271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2827330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37439382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2823403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2827349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37439310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2823537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37442741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2827417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37439269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2823670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37442553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2827635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37439222</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37444328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2823849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37442477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2827669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37439171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37444295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2823937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37442359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2827659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37439147</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2824003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37442222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2827878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37439071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2171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37444284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2824174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37442182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2828099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37438955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37438794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2831763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2298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37436337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2828792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37442271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37438559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2831754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2299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37436237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2828757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37443031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37438323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2831763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37435984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2828767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37443621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2259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37438272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2831736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37435788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2828760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37443995</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37438146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2831687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37435609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37438007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2831574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2828825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37444970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37437947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2831509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37435385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2829374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37445469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37437829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2831514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37435213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2829876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37446249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37437697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2831486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2830359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37446911</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37437581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2831491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37434867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2831139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37447594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37437497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2831461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37434731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2831801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2350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37448060</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37437419</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2831437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37434625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2832484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2351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37448096</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37437256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2831659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37434575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2832923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2352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37448184</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2269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37437087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2831555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37434524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2833529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2353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37448209</w:t>
            </w: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37436996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2831512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2834472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37436772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2831314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37434498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37436455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2831127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37434496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2834641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37436263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2830921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37434526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2835650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37436113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2830832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37434610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2836511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37436038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2830751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37434717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2837210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37436197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2830462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37434832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2837800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37436221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2830411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37435010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2838531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37436335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2830246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37435133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2838965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2279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37436225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2830144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37435330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2839574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37436021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2830112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37435498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2840026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37435762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2830044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37435602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2840290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37435841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2829971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37435825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2840814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37435795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2829885</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37436193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2841573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37435798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2829809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37436531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2842186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37435881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2829812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37436822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2842661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37435946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2829711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37437106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2843094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37436077</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2829649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37437382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2843483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37436221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2829561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37437545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2843702</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2289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37436313</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2829518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37438004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2844281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2290</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37436446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2829336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37438462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2844799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2291</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37436545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2829289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37439048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2845409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2292</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37436571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37439680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2845980</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2293</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37436642</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2829196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37440015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2846261</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2294</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37436548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2829019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37440518</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2846654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2295</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37436520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2828929</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37440905</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2846933</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2296</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37436471</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2828837</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2338</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37441294</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2847196</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2297</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37436440</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r>
              <w:rPr>
                <w:rFonts w:hint="default" w:ascii="Times New Roman" w:hAnsi="Times New Roman" w:eastAsia="宋体" w:cs="Times New Roman"/>
                <w:i w:val="0"/>
                <w:color w:val="000000"/>
                <w:kern w:val="0"/>
                <w:sz w:val="18"/>
                <w:szCs w:val="18"/>
                <w:u w:val="none"/>
                <w:lang w:val="en-US" w:eastAsia="zh-CN" w:bidi="ar"/>
              </w:rPr>
              <w:t>2828738</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2339</w:t>
            </w: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37441766</w:t>
            </w:r>
          </w:p>
        </w:tc>
        <w:tc>
          <w:tcPr>
            <w:tcW w:w="103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2847494</w:t>
            </w:r>
          </w:p>
        </w:tc>
        <w:tc>
          <w:tcPr>
            <w:tcW w:w="68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13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c>
          <w:tcPr>
            <w:tcW w:w="104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center"/>
              <w:textAlignment w:val="bottom"/>
              <w:rPr>
                <w:rFonts w:hint="default" w:ascii="Times New Roman" w:hAnsi="Times New Roman" w:eastAsia="宋体" w:cs="Times New Roman"/>
                <w:sz w:val="18"/>
                <w:szCs w:val="18"/>
                <w:vertAlign w:val="baseline"/>
              </w:rPr>
            </w:pPr>
          </w:p>
        </w:tc>
      </w:tr>
    </w:tbl>
    <w:p>
      <w:pPr>
        <w:rPr>
          <w:rFonts w:hint="default"/>
          <w:b/>
          <w:bCs/>
          <w:sz w:val="28"/>
          <w:szCs w:val="28"/>
          <w:lang w:val="en-US" w:eastAsia="zh-CN"/>
        </w:rPr>
      </w:pPr>
      <w:r>
        <w:rPr>
          <w:rFonts w:hint="default"/>
          <w:b/>
          <w:bCs/>
          <w:sz w:val="28"/>
          <w:szCs w:val="28"/>
          <w:lang w:val="en-US" w:eastAsia="zh-CN"/>
        </w:rPr>
        <w:br w:type="page"/>
      </w:r>
    </w:p>
    <w:bookmarkEnd w:id="20"/>
    <w:p>
      <w:pPr>
        <w:outlineLvl w:val="0"/>
        <w:rPr>
          <w:rFonts w:hint="eastAsia" w:ascii="黑体" w:hAnsi="黑体" w:eastAsia="黑体" w:cs="黑体"/>
          <w:b w:val="0"/>
          <w:bCs/>
          <w:sz w:val="28"/>
          <w:szCs w:val="28"/>
          <w:lang w:val="en-US" w:eastAsia="zh-CN"/>
        </w:rPr>
      </w:pPr>
      <w:r>
        <w:rPr>
          <w:rStyle w:val="25"/>
          <w:rFonts w:hint="eastAsia" w:ascii="黑体" w:hAnsi="黑体" w:eastAsia="黑体" w:cs="黑体"/>
          <w:b w:val="0"/>
          <w:bCs/>
          <w:lang w:val="en-US" w:eastAsia="zh-CN"/>
        </w:rPr>
        <w:t xml:space="preserve">附表3 </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eastAsia"/>
          <w:sz w:val="28"/>
          <w:szCs w:val="28"/>
          <w:lang w:val="en-US" w:eastAsia="zh-CN"/>
        </w:rPr>
      </w:pPr>
    </w:p>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兴安县秸秆限烧区统计表</w:t>
      </w:r>
    </w:p>
    <w:tbl>
      <w:tblPr>
        <w:tblStyle w:val="10"/>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796"/>
        <w:gridCol w:w="846"/>
        <w:gridCol w:w="846"/>
        <w:gridCol w:w="973"/>
        <w:gridCol w:w="973"/>
        <w:gridCol w:w="703"/>
        <w:gridCol w:w="800"/>
        <w:gridCol w:w="799"/>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序号</w:t>
            </w:r>
          </w:p>
        </w:tc>
        <w:tc>
          <w:tcPr>
            <w:tcW w:w="796"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设区市</w:t>
            </w:r>
          </w:p>
        </w:tc>
        <w:tc>
          <w:tcPr>
            <w:tcW w:w="846"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县（市、区）</w:t>
            </w:r>
          </w:p>
        </w:tc>
        <w:tc>
          <w:tcPr>
            <w:tcW w:w="846"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乡（镇）</w:t>
            </w:r>
          </w:p>
        </w:tc>
        <w:tc>
          <w:tcPr>
            <w:tcW w:w="973"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行政区划面积（km</w:t>
            </w:r>
            <w:r>
              <w:rPr>
                <w:rFonts w:hint="eastAsia"/>
                <w:sz w:val="21"/>
                <w:szCs w:val="21"/>
                <w:vertAlign w:val="superscript"/>
                <w:lang w:val="en-US" w:eastAsia="zh-CN"/>
              </w:rPr>
              <w:t>2</w:t>
            </w:r>
            <w:r>
              <w:rPr>
                <w:rFonts w:hint="eastAsia"/>
                <w:sz w:val="21"/>
                <w:szCs w:val="21"/>
                <w:vertAlign w:val="baseline"/>
                <w:lang w:val="en-US" w:eastAsia="zh-CN"/>
              </w:rPr>
              <w:t>）</w:t>
            </w:r>
          </w:p>
        </w:tc>
        <w:tc>
          <w:tcPr>
            <w:tcW w:w="973"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禁烧区面积（km</w:t>
            </w:r>
            <w:r>
              <w:rPr>
                <w:rFonts w:hint="eastAsia"/>
                <w:sz w:val="21"/>
                <w:szCs w:val="21"/>
                <w:vertAlign w:val="superscript"/>
                <w:lang w:val="en-US" w:eastAsia="zh-CN"/>
              </w:rPr>
              <w:t>2</w:t>
            </w:r>
            <w:r>
              <w:rPr>
                <w:rFonts w:hint="eastAsia"/>
                <w:sz w:val="21"/>
                <w:szCs w:val="21"/>
                <w:vertAlign w:val="baseline"/>
                <w:lang w:val="en-US" w:eastAsia="zh-CN"/>
              </w:rPr>
              <w:t>）</w:t>
            </w:r>
          </w:p>
        </w:tc>
        <w:tc>
          <w:tcPr>
            <w:tcW w:w="1503" w:type="dxa"/>
            <w:gridSpan w:val="2"/>
            <w:vAlign w:val="center"/>
          </w:tcPr>
          <w:p>
            <w:pPr>
              <w:jc w:val="center"/>
              <w:rPr>
                <w:rFonts w:hint="eastAsia"/>
                <w:sz w:val="21"/>
                <w:szCs w:val="21"/>
                <w:vertAlign w:val="baseline"/>
                <w:lang w:val="en-US" w:eastAsia="zh-CN"/>
              </w:rPr>
            </w:pPr>
            <w:r>
              <w:rPr>
                <w:rFonts w:hint="eastAsia"/>
                <w:sz w:val="21"/>
                <w:szCs w:val="21"/>
                <w:vertAlign w:val="baseline"/>
                <w:lang w:val="en-US" w:eastAsia="zh-CN"/>
              </w:rPr>
              <w:t>边界点地理</w:t>
            </w:r>
          </w:p>
          <w:p>
            <w:pPr>
              <w:jc w:val="center"/>
              <w:rPr>
                <w:rFonts w:hint="eastAsia"/>
                <w:sz w:val="21"/>
                <w:szCs w:val="21"/>
                <w:vertAlign w:val="baseline"/>
                <w:lang w:val="en-US" w:eastAsia="zh-CN"/>
              </w:rPr>
            </w:pPr>
            <w:r>
              <w:rPr>
                <w:rFonts w:hint="eastAsia"/>
                <w:sz w:val="21"/>
                <w:szCs w:val="21"/>
                <w:vertAlign w:val="baseline"/>
                <w:lang w:val="en-US" w:eastAsia="zh-CN"/>
              </w:rPr>
              <w:t>坐标</w:t>
            </w:r>
          </w:p>
        </w:tc>
        <w:tc>
          <w:tcPr>
            <w:tcW w:w="799"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主要农作物种类</w:t>
            </w:r>
          </w:p>
        </w:tc>
        <w:tc>
          <w:tcPr>
            <w:tcW w:w="974"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主要农作物种植面积（km</w:t>
            </w:r>
            <w:r>
              <w:rPr>
                <w:rFonts w:hint="eastAsia"/>
                <w:sz w:val="21"/>
                <w:szCs w:val="21"/>
                <w:vertAlign w:val="superscript"/>
                <w:lang w:val="en-US" w:eastAsia="zh-CN"/>
              </w:rPr>
              <w:t>2</w:t>
            </w: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pPr>
              <w:jc w:val="center"/>
              <w:rPr>
                <w:rFonts w:hint="eastAsia"/>
                <w:sz w:val="21"/>
                <w:szCs w:val="21"/>
                <w:vertAlign w:val="baseline"/>
                <w:lang w:val="en-US" w:eastAsia="zh-CN"/>
              </w:rPr>
            </w:pPr>
          </w:p>
        </w:tc>
        <w:tc>
          <w:tcPr>
            <w:tcW w:w="796" w:type="dxa"/>
            <w:vMerge w:val="continue"/>
            <w:vAlign w:val="center"/>
          </w:tcPr>
          <w:p>
            <w:pPr>
              <w:jc w:val="center"/>
              <w:rPr>
                <w:rFonts w:hint="eastAsia"/>
                <w:sz w:val="21"/>
                <w:szCs w:val="21"/>
                <w:vertAlign w:val="baseline"/>
                <w:lang w:val="en-US" w:eastAsia="zh-CN"/>
              </w:rPr>
            </w:pPr>
          </w:p>
        </w:tc>
        <w:tc>
          <w:tcPr>
            <w:tcW w:w="846" w:type="dxa"/>
            <w:vMerge w:val="continue"/>
            <w:vAlign w:val="center"/>
          </w:tcPr>
          <w:p>
            <w:pPr>
              <w:jc w:val="center"/>
              <w:rPr>
                <w:rFonts w:hint="eastAsia"/>
                <w:sz w:val="21"/>
                <w:szCs w:val="21"/>
                <w:vertAlign w:val="baseline"/>
                <w:lang w:val="en-US" w:eastAsia="zh-CN"/>
              </w:rPr>
            </w:pPr>
          </w:p>
        </w:tc>
        <w:tc>
          <w:tcPr>
            <w:tcW w:w="846" w:type="dxa"/>
            <w:vMerge w:val="continue"/>
            <w:vAlign w:val="center"/>
          </w:tcPr>
          <w:p>
            <w:pPr>
              <w:jc w:val="center"/>
              <w:rPr>
                <w:rFonts w:hint="eastAsia"/>
                <w:sz w:val="21"/>
                <w:szCs w:val="21"/>
                <w:vertAlign w:val="baseline"/>
                <w:lang w:val="en-US" w:eastAsia="zh-CN"/>
              </w:rPr>
            </w:pPr>
          </w:p>
        </w:tc>
        <w:tc>
          <w:tcPr>
            <w:tcW w:w="973" w:type="dxa"/>
            <w:vMerge w:val="continue"/>
            <w:vAlign w:val="center"/>
          </w:tcPr>
          <w:p>
            <w:pPr>
              <w:jc w:val="center"/>
              <w:rPr>
                <w:rFonts w:hint="eastAsia"/>
                <w:sz w:val="21"/>
                <w:szCs w:val="21"/>
                <w:vertAlign w:val="baseline"/>
                <w:lang w:val="en-US" w:eastAsia="zh-CN"/>
              </w:rPr>
            </w:pPr>
          </w:p>
        </w:tc>
        <w:tc>
          <w:tcPr>
            <w:tcW w:w="973" w:type="dxa"/>
            <w:vMerge w:val="continue"/>
            <w:vAlign w:val="center"/>
          </w:tcPr>
          <w:p>
            <w:pPr>
              <w:jc w:val="center"/>
              <w:rPr>
                <w:rFonts w:hint="eastAsia"/>
                <w:sz w:val="21"/>
                <w:szCs w:val="21"/>
                <w:vertAlign w:val="baseline"/>
                <w:lang w:val="en-US" w:eastAsia="zh-CN"/>
              </w:rPr>
            </w:pPr>
          </w:p>
        </w:tc>
        <w:tc>
          <w:tcPr>
            <w:tcW w:w="70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经度</w:t>
            </w:r>
          </w:p>
        </w:tc>
        <w:tc>
          <w:tcPr>
            <w:tcW w:w="800"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纬度</w:t>
            </w:r>
          </w:p>
        </w:tc>
        <w:tc>
          <w:tcPr>
            <w:tcW w:w="799" w:type="dxa"/>
            <w:vMerge w:val="continue"/>
            <w:vAlign w:val="center"/>
          </w:tcPr>
          <w:p>
            <w:pPr>
              <w:jc w:val="center"/>
              <w:rPr>
                <w:rFonts w:hint="eastAsia"/>
                <w:sz w:val="21"/>
                <w:szCs w:val="21"/>
                <w:vertAlign w:val="baseline"/>
                <w:lang w:val="en-US" w:eastAsia="zh-CN"/>
              </w:rPr>
            </w:pPr>
          </w:p>
        </w:tc>
        <w:tc>
          <w:tcPr>
            <w:tcW w:w="974" w:type="dxa"/>
            <w:vMerge w:val="continue"/>
            <w:vAlign w:val="center"/>
          </w:tcPr>
          <w:p>
            <w:pPr>
              <w:jc w:val="center"/>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1</w:t>
            </w:r>
          </w:p>
        </w:tc>
        <w:tc>
          <w:tcPr>
            <w:tcW w:w="796"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桂林市</w:t>
            </w:r>
          </w:p>
        </w:tc>
        <w:tc>
          <w:tcPr>
            <w:tcW w:w="846" w:type="dxa"/>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兴安县</w:t>
            </w:r>
          </w:p>
        </w:tc>
        <w:tc>
          <w:tcPr>
            <w:tcW w:w="84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溶江镇</w:t>
            </w:r>
          </w:p>
        </w:tc>
        <w:tc>
          <w:tcPr>
            <w:tcW w:w="97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473.53</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157.21</w:t>
            </w:r>
          </w:p>
        </w:tc>
        <w:tc>
          <w:tcPr>
            <w:tcW w:w="1503" w:type="dxa"/>
            <w:gridSpan w:val="2"/>
            <w:vMerge w:val="restart"/>
            <w:vAlign w:val="center"/>
          </w:tcPr>
          <w:p>
            <w:pPr>
              <w:jc w:val="center"/>
              <w:rPr>
                <w:rFonts w:hint="eastAsia"/>
                <w:sz w:val="21"/>
                <w:szCs w:val="21"/>
                <w:vertAlign w:val="baseline"/>
                <w:lang w:val="en-US" w:eastAsia="zh-CN"/>
              </w:rPr>
            </w:pPr>
            <w:r>
              <w:rPr>
                <w:rFonts w:hint="eastAsia"/>
                <w:sz w:val="21"/>
                <w:szCs w:val="21"/>
                <w:vertAlign w:val="baseline"/>
                <w:lang w:val="en-US" w:eastAsia="zh-CN"/>
              </w:rPr>
              <w:t>详见附表2-2 秸秆限烧区边界拐点坐标</w:t>
            </w:r>
          </w:p>
        </w:tc>
        <w:tc>
          <w:tcPr>
            <w:tcW w:w="79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2</w:t>
            </w:r>
          </w:p>
        </w:tc>
        <w:tc>
          <w:tcPr>
            <w:tcW w:w="796" w:type="dxa"/>
            <w:vMerge w:val="continue"/>
            <w:vAlign w:val="center"/>
          </w:tcPr>
          <w:p>
            <w:pPr>
              <w:jc w:val="center"/>
              <w:rPr>
                <w:rFonts w:hint="eastAsia"/>
                <w:sz w:val="21"/>
                <w:szCs w:val="21"/>
                <w:vertAlign w:val="baseline"/>
                <w:lang w:val="en-US" w:eastAsia="zh-CN"/>
              </w:rPr>
            </w:pPr>
          </w:p>
        </w:tc>
        <w:tc>
          <w:tcPr>
            <w:tcW w:w="846" w:type="dxa"/>
            <w:vMerge w:val="continue"/>
            <w:vAlign w:val="center"/>
          </w:tcPr>
          <w:p>
            <w:pPr>
              <w:jc w:val="center"/>
              <w:rPr>
                <w:rFonts w:hint="eastAsia"/>
                <w:sz w:val="21"/>
                <w:szCs w:val="21"/>
                <w:vertAlign w:val="baseline"/>
                <w:lang w:val="en-US" w:eastAsia="zh-CN"/>
              </w:rPr>
            </w:pPr>
          </w:p>
        </w:tc>
        <w:tc>
          <w:tcPr>
            <w:tcW w:w="84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高尚镇</w:t>
            </w:r>
          </w:p>
        </w:tc>
        <w:tc>
          <w:tcPr>
            <w:tcW w:w="97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267.52</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92.06</w:t>
            </w:r>
          </w:p>
        </w:tc>
        <w:tc>
          <w:tcPr>
            <w:tcW w:w="1503" w:type="dxa"/>
            <w:gridSpan w:val="2"/>
            <w:vMerge w:val="continue"/>
            <w:vAlign w:val="center"/>
          </w:tcPr>
          <w:p>
            <w:pPr>
              <w:jc w:val="center"/>
              <w:rPr>
                <w:rFonts w:hint="eastAsia"/>
                <w:sz w:val="21"/>
                <w:szCs w:val="21"/>
                <w:vertAlign w:val="baseline"/>
                <w:lang w:val="en-US" w:eastAsia="zh-CN"/>
              </w:rPr>
            </w:pPr>
          </w:p>
        </w:tc>
        <w:tc>
          <w:tcPr>
            <w:tcW w:w="79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3</w:t>
            </w:r>
          </w:p>
        </w:tc>
        <w:tc>
          <w:tcPr>
            <w:tcW w:w="796" w:type="dxa"/>
            <w:vMerge w:val="continue"/>
            <w:vAlign w:val="center"/>
          </w:tcPr>
          <w:p>
            <w:pPr>
              <w:jc w:val="center"/>
              <w:rPr>
                <w:rFonts w:hint="eastAsia"/>
                <w:sz w:val="21"/>
                <w:szCs w:val="21"/>
                <w:vertAlign w:val="baseline"/>
                <w:lang w:val="en-US" w:eastAsia="zh-CN"/>
              </w:rPr>
            </w:pPr>
          </w:p>
        </w:tc>
        <w:tc>
          <w:tcPr>
            <w:tcW w:w="846" w:type="dxa"/>
            <w:vMerge w:val="continue"/>
            <w:vAlign w:val="center"/>
          </w:tcPr>
          <w:p>
            <w:pPr>
              <w:jc w:val="center"/>
              <w:rPr>
                <w:rFonts w:hint="eastAsia"/>
                <w:sz w:val="21"/>
                <w:szCs w:val="21"/>
                <w:vertAlign w:val="baseline"/>
                <w:lang w:val="en-US" w:eastAsia="zh-CN"/>
              </w:rPr>
            </w:pPr>
          </w:p>
        </w:tc>
        <w:tc>
          <w:tcPr>
            <w:tcW w:w="84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华江瑶族乡</w:t>
            </w:r>
          </w:p>
        </w:tc>
        <w:tc>
          <w:tcPr>
            <w:tcW w:w="97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437.58</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135.60</w:t>
            </w:r>
          </w:p>
        </w:tc>
        <w:tc>
          <w:tcPr>
            <w:tcW w:w="1503" w:type="dxa"/>
            <w:gridSpan w:val="2"/>
            <w:vMerge w:val="continue"/>
            <w:vAlign w:val="center"/>
          </w:tcPr>
          <w:p>
            <w:pPr>
              <w:jc w:val="center"/>
              <w:rPr>
                <w:rFonts w:hint="eastAsia"/>
                <w:sz w:val="21"/>
                <w:szCs w:val="21"/>
                <w:vertAlign w:val="baseline"/>
                <w:lang w:val="en-US" w:eastAsia="zh-CN"/>
              </w:rPr>
            </w:pPr>
          </w:p>
        </w:tc>
        <w:tc>
          <w:tcPr>
            <w:tcW w:w="79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4</w:t>
            </w:r>
          </w:p>
        </w:tc>
        <w:tc>
          <w:tcPr>
            <w:tcW w:w="796" w:type="dxa"/>
            <w:vMerge w:val="continue"/>
            <w:vAlign w:val="center"/>
          </w:tcPr>
          <w:p>
            <w:pPr>
              <w:jc w:val="center"/>
              <w:rPr>
                <w:rFonts w:hint="eastAsia"/>
                <w:sz w:val="21"/>
                <w:szCs w:val="21"/>
                <w:vertAlign w:val="baseline"/>
                <w:lang w:val="en-US" w:eastAsia="zh-CN"/>
              </w:rPr>
            </w:pPr>
          </w:p>
        </w:tc>
        <w:tc>
          <w:tcPr>
            <w:tcW w:w="846" w:type="dxa"/>
            <w:vMerge w:val="continue"/>
            <w:vAlign w:val="center"/>
          </w:tcPr>
          <w:p>
            <w:pPr>
              <w:jc w:val="center"/>
              <w:rPr>
                <w:rFonts w:hint="eastAsia"/>
                <w:sz w:val="21"/>
                <w:szCs w:val="21"/>
                <w:vertAlign w:val="baseline"/>
                <w:lang w:val="en-US" w:eastAsia="zh-CN"/>
              </w:rPr>
            </w:pPr>
          </w:p>
        </w:tc>
        <w:tc>
          <w:tcPr>
            <w:tcW w:w="84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漠川乡</w:t>
            </w:r>
          </w:p>
        </w:tc>
        <w:tc>
          <w:tcPr>
            <w:tcW w:w="97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302.26</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132.05</w:t>
            </w:r>
          </w:p>
        </w:tc>
        <w:tc>
          <w:tcPr>
            <w:tcW w:w="1503" w:type="dxa"/>
            <w:gridSpan w:val="2"/>
            <w:vMerge w:val="continue"/>
            <w:vAlign w:val="center"/>
          </w:tcPr>
          <w:p>
            <w:pPr>
              <w:jc w:val="center"/>
              <w:rPr>
                <w:rFonts w:hint="eastAsia"/>
                <w:sz w:val="21"/>
                <w:szCs w:val="21"/>
                <w:vertAlign w:val="baseline"/>
                <w:lang w:val="en-US" w:eastAsia="zh-CN"/>
              </w:rPr>
            </w:pPr>
          </w:p>
        </w:tc>
        <w:tc>
          <w:tcPr>
            <w:tcW w:w="79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5</w:t>
            </w:r>
          </w:p>
        </w:tc>
        <w:tc>
          <w:tcPr>
            <w:tcW w:w="796" w:type="dxa"/>
            <w:vMerge w:val="continue"/>
            <w:vAlign w:val="center"/>
          </w:tcPr>
          <w:p>
            <w:pPr>
              <w:jc w:val="center"/>
              <w:rPr>
                <w:rFonts w:hint="eastAsia"/>
                <w:sz w:val="21"/>
                <w:szCs w:val="21"/>
                <w:vertAlign w:val="baseline"/>
                <w:lang w:val="en-US" w:eastAsia="zh-CN"/>
              </w:rPr>
            </w:pPr>
          </w:p>
        </w:tc>
        <w:tc>
          <w:tcPr>
            <w:tcW w:w="846" w:type="dxa"/>
            <w:vMerge w:val="continue"/>
            <w:vAlign w:val="center"/>
          </w:tcPr>
          <w:p>
            <w:pPr>
              <w:jc w:val="center"/>
              <w:rPr>
                <w:rFonts w:hint="eastAsia"/>
                <w:sz w:val="21"/>
                <w:szCs w:val="21"/>
                <w:vertAlign w:val="baseline"/>
                <w:lang w:val="en-US" w:eastAsia="zh-CN"/>
              </w:rPr>
            </w:pPr>
          </w:p>
        </w:tc>
        <w:tc>
          <w:tcPr>
            <w:tcW w:w="846"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白石乡</w:t>
            </w:r>
          </w:p>
        </w:tc>
        <w:tc>
          <w:tcPr>
            <w:tcW w:w="973"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86.44</w:t>
            </w:r>
          </w:p>
        </w:tc>
        <w:tc>
          <w:tcPr>
            <w:tcW w:w="973"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5.33</w:t>
            </w:r>
          </w:p>
        </w:tc>
        <w:tc>
          <w:tcPr>
            <w:tcW w:w="1503" w:type="dxa"/>
            <w:gridSpan w:val="2"/>
            <w:vMerge w:val="continue"/>
            <w:vAlign w:val="center"/>
          </w:tcPr>
          <w:p>
            <w:pPr>
              <w:jc w:val="center"/>
              <w:rPr>
                <w:rFonts w:hint="eastAsia"/>
                <w:sz w:val="21"/>
                <w:szCs w:val="21"/>
                <w:vertAlign w:val="baseline"/>
                <w:lang w:val="en-US" w:eastAsia="zh-CN"/>
              </w:rPr>
            </w:pPr>
          </w:p>
        </w:tc>
        <w:tc>
          <w:tcPr>
            <w:tcW w:w="799"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水稻、玉米</w:t>
            </w:r>
          </w:p>
        </w:tc>
        <w:tc>
          <w:tcPr>
            <w:tcW w:w="97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0.48</w:t>
            </w:r>
          </w:p>
        </w:tc>
      </w:tr>
    </w:tbl>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highlight w:val="yellow"/>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jc w:val="left"/>
        <w:outlineLvl w:val="0"/>
        <w:rPr>
          <w:rFonts w:hint="eastAsia" w:ascii="黑体" w:hAnsi="黑体" w:eastAsia="黑体" w:cs="黑体"/>
          <w:b w:val="0"/>
          <w:bCs/>
          <w:sz w:val="32"/>
          <w:szCs w:val="32"/>
          <w:lang w:val="en-US" w:eastAsia="zh-CN"/>
        </w:rPr>
      </w:pPr>
      <w:r>
        <w:rPr>
          <w:rStyle w:val="25"/>
          <w:rFonts w:hint="eastAsia" w:ascii="黑体" w:hAnsi="黑体" w:eastAsia="黑体" w:cs="黑体"/>
          <w:b w:val="0"/>
          <w:bCs/>
          <w:sz w:val="32"/>
          <w:szCs w:val="32"/>
          <w:lang w:val="en-US" w:eastAsia="zh-CN"/>
        </w:rPr>
        <w:t xml:space="preserve">附表4 </w:t>
      </w:r>
    </w:p>
    <w:p>
      <w:pPr>
        <w:jc w:val="center"/>
        <w:rPr>
          <w:rFonts w:hint="default"/>
          <w:sz w:val="28"/>
          <w:szCs w:val="28"/>
          <w:lang w:val="en-US" w:eastAsia="zh-CN"/>
        </w:rPr>
      </w:pPr>
      <w:r>
        <w:rPr>
          <w:rFonts w:hint="eastAsia" w:ascii="方正小标宋_GBK" w:hAnsi="方正小标宋_GBK" w:eastAsia="方正小标宋_GBK" w:cs="方正小标宋_GBK"/>
          <w:sz w:val="44"/>
          <w:szCs w:val="44"/>
          <w:lang w:val="en-US" w:eastAsia="zh-CN"/>
        </w:rPr>
        <w:t>兴安县秸秆限烧区边界拐点坐标</w:t>
      </w:r>
    </w:p>
    <w:tbl>
      <w:tblPr>
        <w:tblStyle w:val="10"/>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130"/>
        <w:gridCol w:w="1040"/>
        <w:gridCol w:w="683"/>
        <w:gridCol w:w="1130"/>
        <w:gridCol w:w="1040"/>
        <w:gridCol w:w="683"/>
        <w:gridCol w:w="113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37"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编号</w:t>
            </w:r>
          </w:p>
        </w:tc>
        <w:tc>
          <w:tcPr>
            <w:tcW w:w="1130"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经度坐标</w:t>
            </w:r>
          </w:p>
        </w:tc>
        <w:tc>
          <w:tcPr>
            <w:tcW w:w="1040"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纬度坐标</w:t>
            </w:r>
          </w:p>
        </w:tc>
        <w:tc>
          <w:tcPr>
            <w:tcW w:w="683"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编号</w:t>
            </w:r>
          </w:p>
        </w:tc>
        <w:tc>
          <w:tcPr>
            <w:tcW w:w="1130"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经度坐标</w:t>
            </w:r>
          </w:p>
        </w:tc>
        <w:tc>
          <w:tcPr>
            <w:tcW w:w="1040"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纬度坐标</w:t>
            </w:r>
          </w:p>
        </w:tc>
        <w:tc>
          <w:tcPr>
            <w:tcW w:w="683"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编号</w:t>
            </w:r>
          </w:p>
        </w:tc>
        <w:tc>
          <w:tcPr>
            <w:tcW w:w="1130"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经度坐标</w:t>
            </w:r>
          </w:p>
        </w:tc>
        <w:tc>
          <w:tcPr>
            <w:tcW w:w="1040" w:type="dxa"/>
            <w:vAlign w:val="center"/>
          </w:tcPr>
          <w:p>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jc w:val="center"/>
              <w:textAlignment w:val="auto"/>
              <w:rPr>
                <w:rFonts w:hint="default" w:ascii="Times New Roman" w:hAnsi="Times New Roman" w:cs="Times New Roman"/>
                <w:b/>
                <w:bCs/>
                <w:sz w:val="18"/>
                <w:szCs w:val="18"/>
                <w:vertAlign w:val="baseline"/>
                <w:lang w:val="en-US" w:eastAsia="zh-CN"/>
              </w:rPr>
            </w:pPr>
            <w:r>
              <w:rPr>
                <w:rFonts w:hint="default" w:ascii="Times New Roman" w:hAnsi="Times New Roman" w:cs="Times New Roman"/>
                <w:b/>
                <w:bCs/>
                <w:sz w:val="18"/>
                <w:szCs w:val="18"/>
                <w:vertAlign w:val="baseline"/>
                <w:lang w:val="en-US" w:eastAsia="zh-CN"/>
              </w:rPr>
              <w:t>纬度坐标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37460276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37455567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37468017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37460254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37460284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37455356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37468485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37460276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2804703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2805721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2804807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37468759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37454963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37468946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37455697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37454898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2804944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2805541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37454873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2805101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37456054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37456236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2805329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2805510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2805256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37456936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2805810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37457046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37460358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37457298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2805721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37460964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37461897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37469209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2813373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37462387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37469327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37469209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37468893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37468749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37457346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2804889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2811698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37457273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37457183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37457108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2804470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37457039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2804352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37468541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2811302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37456700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37468258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2811360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37456673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2804360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37468147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37456603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37467999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37456568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2804247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37467609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2811464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37467446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37456297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37467226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2811695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37463248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37456232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37466995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2811770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37456075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2811886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37466995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2812027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37455893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37467024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2812146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37455706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2804267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37467290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2812233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37455642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37467515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29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37463204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37465735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2804225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37460885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37463369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2809342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37465622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37460767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37463226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2809188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37465527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2804342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37460676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2809023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37460475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37462709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2808766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37460422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37462602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2808505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37465260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2804518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37460458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37462571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2808236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2804753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2807840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37465226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37460623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37465197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37460494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2807615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37465058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2804551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37460499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37462659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37464901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2804382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37460384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37462772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37464750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2804272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37460284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37464596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2804010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37460314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37464569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37460120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37463352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37464380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37460019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37463893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2806039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37464438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2804817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37459929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37464170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2805918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37464503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2805002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37464324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37464722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37464147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37464891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37464100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2804960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37465222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37463994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37463923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2805661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37463872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37465402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2805398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37463753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2805007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37463695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37463536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37459677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37465395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37463396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37465434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37463287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37465558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37463006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2805130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37465786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2804281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37462966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37466024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37462767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37466325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2804050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37462821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2805326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37466459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37462793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2805806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37466447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2803986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37466371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2803812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37462479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37459846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37466374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2803751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37462323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2805842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37466136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2803689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37462019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37466024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2803684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37461807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37465946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2803786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37461749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37459470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37465922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2803837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37461463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2805804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37465667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2803861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37461051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37465781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37460955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37459595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2813500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37453243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2808298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37453197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37459720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2813901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37453184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37459641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2814207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2808464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37459969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2814597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37453121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37460059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2814749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37453064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37460358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2814715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2809025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37452832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37452736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37452080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2818293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2818012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2810000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37452753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37452918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2817619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37457221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37452813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37453305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2817340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37457160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2810531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37452921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37453694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2817077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37457096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2810686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37452967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37454166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37457030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2810891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37452996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37454671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2816489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37456894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37453022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2816097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37456899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37453061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37456021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2815833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37456858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37453015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37456395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2815681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37456709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37452925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37456809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2815525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2812186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37452847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37457243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2815376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2812252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37452746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37456458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2814992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37456329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2812803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37452547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2814665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37456091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2813051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37452440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2814383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37455834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37452347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37455583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37452328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2814221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37455478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37452274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2813957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37455195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2813198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37452216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2813639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37452121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2813044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37454872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2812774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37454613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2812994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37451733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2812474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37454306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37451561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2811996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37453985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37451359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37457476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2811268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37453908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37451231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37457521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37453824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37451158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37457698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2810307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37453584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2811941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37457802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2811676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37457853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2809015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37453502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37453472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37457796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2808574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37453304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2810703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2817061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37446091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2812661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2817100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37445995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2812775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37451048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2817186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37445907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2812961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2817319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37445870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37450478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2817386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37445744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2813186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2817434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37445473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2813270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2817467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37445314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2817561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37450298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2813688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37450209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2817693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37449999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2817740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37444969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37449880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2817825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37444827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37450789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2813889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37449830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2817883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37444793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37449704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2817962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37444696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2814136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37449636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2818114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37444669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37450654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37449653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2818324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37450396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2818411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37450373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2814362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37449594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37444334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37450301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2814490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37449784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2818749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37450241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2814485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37449928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2818868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37490532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37450135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37450097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2818854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37490661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37449959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37450207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2818863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37490721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37449834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2814541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37450303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2818974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37490823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37449713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2814531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2819011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37491108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37449457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2814644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37450489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2819117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37491299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37449423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2814998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2819245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37491295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37449543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37491346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37449773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37491622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37449861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2815210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37450398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37491746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37449974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2815342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37449969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2815411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37492076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37449979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2815537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2819489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37492219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37450061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2815685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37492246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37450119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2815814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37492331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37450242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2815920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37492396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37450336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2816180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37492810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2816213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37444912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2820178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2816312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37445394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2820032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37492859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2816419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37446110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2816472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37446234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37450858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2816647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37446214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37493014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2816877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37493047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37488439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2820061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37488766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37493071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2819952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2816367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37488978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37493047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2816211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37489160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2819733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2816124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37489284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37492912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2819623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2815965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2819373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2815887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499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2819140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37490568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2815737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37489268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2819061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2815665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37489168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37493005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2818950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37490589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2815426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37489109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2818887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37489143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37492947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2818836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37490359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2815270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37489197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37492846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2818712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37489296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37492782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37490091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37489704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37490020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37489797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37492620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2818664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37489871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37489921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37492522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2818660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37489828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2814965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37489979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37492475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2818711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2814937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37490067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37492421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37489480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37490147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37492329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37489409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37490331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37492252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37489409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37490532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37492026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2814899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37484961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37491956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2814937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37485020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37491872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37489323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2815029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37491746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37489028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2815303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37491628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2818449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37488703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2815457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2818412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37488563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2815553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37485080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37491387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2818382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37488421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2815636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37491196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2818337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2815921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37491164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2818269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2816243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37491049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2818215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2816314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37491021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2818162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37485370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2818059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2816836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37485448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37490876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2817947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37488242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2816971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37490846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2817862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2817343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37485749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37490799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2817713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2817505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37485812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37490771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37488116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2817805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37485896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37490729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2817641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2818071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37486011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37490548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2817499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37487721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2818386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37486294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37490542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2817368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37487722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2818416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37490606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2817247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37487846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2818596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37486488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37490468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2816854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575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37488017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2818706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37484842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2815625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37481896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37486509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37485050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2815284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37481630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2815034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37485714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2814647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37481260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37485960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2814531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2814432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37481072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37486294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37486367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2814270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37480820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37485988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2821466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37486472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2814036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37480507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37485871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37486286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2813977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37480258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37485932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2813790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37485278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2821453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2813521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37480090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37484935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37479909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2821280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2812975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37479846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2821136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2812749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37479735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2820982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2812536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37479583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2820880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37485554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2812255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37479435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37485701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37479271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2820726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2811722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2820642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2811519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37483333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2820396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37485628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2811322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2820134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37478238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2819861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37485484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2811034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37483081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2819728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37485445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2810744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2819586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37485451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2810577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37482892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2819449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37485547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2810211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37482720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2819143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37485292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2809975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37478002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2818909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37485149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37478143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2818625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37484959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37484847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37482627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2818264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37484605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37482768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2817997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37484377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2809826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37478225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37483038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2817748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2809858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37477871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2817587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2809806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37477637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37483767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2817502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37483482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2809665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37477490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37484013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2817424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2809396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37477406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2817217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37483095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2809104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2816993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37482970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37484228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37482572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2809362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37477427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37484363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2816400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37477566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37484649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2816085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37482314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2809569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37477813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659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2815846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37482160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2809668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37478353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37471808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2802555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37469416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37478533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2804098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2802410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37469346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2804041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37471363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37469323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37478995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2803914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37471259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37469199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2803899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37471031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2802018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37468977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37478995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2803791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37470973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37468798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37478886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2803664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37470860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37468650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37478834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2803659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37470789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2802076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37478754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2803666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37470613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2801950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37468559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37478721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2803637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37470552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2801815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37468488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37478622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2803499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37470369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2801882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37468459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37478521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2803412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37470408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2801988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37478414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37470308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2802129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37468572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37478062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2803318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37470323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2802312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37468721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37477696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37470289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2802372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37468811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2803256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37470085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2802355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37469208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37477346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37469987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2802391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37469358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37477238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2803411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37469948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2802437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37476892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2803374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37469897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2802481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37469866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37469866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2802585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37470104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37476784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2803124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37476684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2803186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37469563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2802715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37469573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2802836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2805923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37476192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2803315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37469569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2802886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37475887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2802911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37470085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2803120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2802937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37475282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2802897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2802961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37469721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2803037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37469822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2802308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37469748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2803086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37469995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37474858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2802197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37469771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2803164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37470266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37474722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2803157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37470458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37470703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2806938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37474367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37469591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2803286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37470962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37474117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2802128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2803336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37471321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2802023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2803374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37471544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37473487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2802123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2803433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37471771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2802237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2803527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2803586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37472590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2802532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37469671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2803662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37472891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37472741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2802650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37469755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2803735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2807973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37472395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2802696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37469583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2803882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785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37472049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2802655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37469527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2804009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2808686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37478596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2816471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2808758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37479071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2816762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37473320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2808999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37479683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2817163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2809248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37480118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2817472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37450908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2809486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37480338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2817635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37451072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2809735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37480916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2818094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37451148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2809961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37481434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2818552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37451296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2810224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37482044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2819138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37451422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37473169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2810473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37482615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2819770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37451457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37473036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2810731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37482896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2820105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37451518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37483289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2820608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37451626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37472772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37483568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2820995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37451968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37473210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2810985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37483831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2821384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37473486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2811016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37484129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2821856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37451946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37473751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2811124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37484411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2822346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37474068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2811402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37474241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2811459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37484809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37452128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37474427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2811539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37484961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2823060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37452197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37474658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2811714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37447608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2863405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37452297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37474879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2811945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37447690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2863148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37452392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37474998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2812191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37447836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2862922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2812437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37475096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2812631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37448378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2862567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2812824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37448656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2862535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2813071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37448900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2862568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37452595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37475154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2813248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37449096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37475235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2813561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37449134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37452596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2813896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37449147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37452599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2814121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37449193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2862492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37452595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899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2814250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37449335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2862312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2814502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37449447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2862336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37449630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2862411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37475373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2814695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37449905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2862355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2815031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2862312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37475584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37450046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2862286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37475609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37450157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2862260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37452596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37475609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2815149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37450296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2862186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37475998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2815275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2862162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37476436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2815438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2862136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37452638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37476700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2815542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37450494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2862092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37452715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37477224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2815764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2862011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37452822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37477983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2816133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2861937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37452909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37453033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37453293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2855929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37436193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37453222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37452790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2855536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37435825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37453317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37452455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37435602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999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37453547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37451823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2854684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37435498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37453682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2858265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37451237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37453816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37450779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2853556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37435133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37453959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37450320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37454086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37450086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37449672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37434717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37454268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2858541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37449546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37434610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37454376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2858708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37449356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2851619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2858713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37449022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37454491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37448647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37434498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37454548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37448243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2849705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37454545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2858419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37448209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37454571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37448184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37454622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37448096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37434625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37448060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37434731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37454874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37447594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2849533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37454984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37446911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37455065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37446249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37435213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37455372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2857911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37445469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2849091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2857951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37444970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2848940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37455521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37444409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37455606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37443995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2848592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2848440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37435522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37455672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2848176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37435435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37455768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2858335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37442271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37455871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37441766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37435293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2828960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37441294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2847196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37435115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37440905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2846933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37435061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37455921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37440518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2846654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37434874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37455897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37440015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2846261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37434734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37455612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37439680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2845980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37434613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37455504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2857484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37439048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2845409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37434467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37438462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2844799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37434273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37438004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2844281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37455427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37437545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2843702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37455046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2857059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37437382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2843483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37434097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37454541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37437106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2843094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37434007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37454069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2856471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37436822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2842661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37453680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1079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37436531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2842186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2829773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37432067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2833709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2830026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37431976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2833839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37428136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2830124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37432039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2834074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37428089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37433624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2830161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37432097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2834236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37428100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37433678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2830336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2834364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37428070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37433668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2830503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37428250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37433697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2830611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37431697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37428246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2830923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37431467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37428248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2831062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37431406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2834392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37428339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2831205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37431204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2834354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37428468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2831281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37431007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37428548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37434047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37430639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2834488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37428616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2831374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37430564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2834572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37428655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37434298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2831411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37430503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2834704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37434259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2831483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37430446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2834786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37428806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37434326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2831645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37430338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2835020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37434317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2831801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37430136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2835149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37434243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2831937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2835387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37434367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2832048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37429825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2835597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37429242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2832241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37429797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2835687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37429297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37434042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2832183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37429747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2835684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37429321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2832188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37429561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2835695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37429221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2832437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37429475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2835649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37433821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2832486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2835585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2832662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37429075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2835589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2832711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2835555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37429139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2832837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37428912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2835593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37429094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2832936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2835770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37433407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2833101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2835909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2833251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2835961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2833205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2836137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2833069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2836211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37429248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37433021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2833012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2836287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37429241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2832894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2836314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2832862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37428659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2836309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37432547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2832962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37428584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2836313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37429008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37432521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2832986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37428546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37432440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2833179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37428472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2836362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37428896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2839961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2833261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37428446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2836361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37428829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2833359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37428397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2836387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2833426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37428321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2836411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1163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2833500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37428270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2836439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37428777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2840576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2845574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37425538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37428721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2840661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2845808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37428697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2840737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2845945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37428657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2840812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2846018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37425797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37428400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2840930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2846161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37425847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37428288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2841105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2846285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37425921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37428221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2841136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2846319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37425946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37428072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2841312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2846396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37425746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37427981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2841354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2846493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37427942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2841480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2846579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37425586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2841536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2846820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2841652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37425442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2841736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2847082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2841945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2842011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2847257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2842174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2847336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37425586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2842249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2847383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2842287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2847493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37425513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2842386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2847636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2842555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2842591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37427138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2848104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2842663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37426988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2848166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37425343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2842761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37426884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2848160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2842905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37426844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37425556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2842961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37426776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2848382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2843049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37426708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2843374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37426641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2848654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37427801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2843701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37426649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37427634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2843765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37425526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2843862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37426571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2849022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37425309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2843911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37426358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2849282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37425092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37427389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2843946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37426287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2849315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37425024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2844118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37426192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2849309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37424871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2844169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37426105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2849406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37424737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2844243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37426072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2849687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37424661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2844350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37426020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2849734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37424568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2844461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37425884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37427696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2844532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2849973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2844661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37425578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2850036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37424426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2844837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37425305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2850073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37424310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37427421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2845011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37425323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2850379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37424247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1289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2845299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37425483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37424221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37424157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2855507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37423971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2855553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37430267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37423946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2853390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2855699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37430370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37423871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2853386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2855786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37430521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37423772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2853462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37427614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37430717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37423626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2853490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37427623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2856130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37430851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37423597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2853612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37427697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37431171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37423447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2853659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37427820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37431235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37423393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2853743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2856563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37431662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37423313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2853815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37427748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2856622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37423347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37427855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2856880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37423376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2854034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2856915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37423447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37427823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2857016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37431909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37423475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2854197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37427952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2857132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37432033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37423548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2854261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37428046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2857237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37423899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37428148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2857302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37432524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37424445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37428145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2857349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37428148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2857395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37432997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37424847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2853988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37428214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2857516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37433022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37425107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37428282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2857810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37433047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37428472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37425247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2854178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37428537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2857871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37428671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37428958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2857716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37425497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37429115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2857674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37433275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1399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37425623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2853683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37429221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37425749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2853690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37429349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37426026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2853654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37429345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2857810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2853662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37429372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37426268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2853628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37429396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2857987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37432618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37426453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2853678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37429428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37432477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37426775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2853711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2858412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37432425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37426851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2853795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37429547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37427021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37429621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2858627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37427147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37429646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2858862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37427221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2854262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37429696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2858907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37432257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37427297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37429730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2859017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37432199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37427379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2854451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37429872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2859061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37427332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2854711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37429940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2859098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2854999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37429974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2859277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37427340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2855159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37430052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2859313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37427536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2855273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37430109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2859377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1499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37432375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37432516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2852779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37437421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2847537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37443224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2852384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37437693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2847466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37443184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37432761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37437893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2847458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37443062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37432863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2852091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37438194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37442837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2851959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37438456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2847623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37438725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2847872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37443222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37432898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2851836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37438859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2848125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37443472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2851755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37438921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37443780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37432240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2851549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37439211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2848456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37444122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37432121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37439465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2848606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37444285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37431847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2851211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37439703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2848871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37444569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37431631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2851072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37439972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37444831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37431422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2850830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37440096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2856797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37431252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2850509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37440172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2849636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37431200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37440282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2849832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37431195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2850129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37440594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1599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37431234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2849839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37440833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2849987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37445259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37431358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2849577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1559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37440996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2850112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37445186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2857888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37431607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2849308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37441212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2850252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37445090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37431770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2849222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37441411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2850486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37445098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37431939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2849142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37441516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2850743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37432329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2848892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37441548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2851018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37445143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37432496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2848848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37441545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2851089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37445150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37432647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2848812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37441573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2851380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2858937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37432922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2848716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37441810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2851455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37445088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2848661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37442036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2851600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1609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37445130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2848350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37442356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2851951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37445391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37433159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2848039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1569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37442468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2852224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37445633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2859830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37433305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2847730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37442515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2852449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37445741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1529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37433536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2847481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37442570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2852817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37445772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37433744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2847371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37442574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2852914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37445807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2860945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37433972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2847287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37442540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2853165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37445868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37434177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2847146</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37442447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2853430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37446106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37434569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2846969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37442471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2853462</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37446352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37435151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2846817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37442684</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2853707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37446491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37435368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2846808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37442793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2853974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1619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37446555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2861918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37435669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2846849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2854111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37446656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37435922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2846968</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1579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37442853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2854339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37446622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2862912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37436161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2847170</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37443017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2854553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37446592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1539</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37436585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2847154</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37443103</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2854761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37446672</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1540</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37436919</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2847199</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1582</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37443146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2854987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1624</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37446766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1541</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37437176</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2847321</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1583</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37443217</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2855257</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1625</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37446921</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1626</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37447185</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2863423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1627</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37447460</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2863543</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1628</w:t>
            </w: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37447608</w:t>
            </w: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color w:val="000000"/>
                <w:kern w:val="0"/>
                <w:sz w:val="18"/>
                <w:szCs w:val="18"/>
                <w:u w:val="none"/>
                <w:lang w:val="en-US" w:eastAsia="zh-CN" w:bidi="ar"/>
              </w:rPr>
              <w:t>2863405</w:t>
            </w: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683"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13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c>
          <w:tcPr>
            <w:tcW w:w="1040" w:type="dxa"/>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Autospacing="0" w:afterAutospacing="0" w:line="300" w:lineRule="exact"/>
              <w:jc w:val="right"/>
              <w:textAlignment w:val="bottom"/>
              <w:rPr>
                <w:rFonts w:hint="default" w:ascii="Times New Roman" w:hAnsi="Times New Roman" w:eastAsia="宋体" w:cs="Times New Roman"/>
                <w:sz w:val="18"/>
                <w:szCs w:val="18"/>
                <w:vertAlign w:val="baseline"/>
                <w:lang w:val="en-US" w:eastAsia="zh-CN"/>
              </w:rPr>
            </w:pPr>
          </w:p>
        </w:tc>
      </w:tr>
    </w:tbl>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textAlignment w:val="auto"/>
        <w:rPr>
          <w:rFonts w:hint="default"/>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textAlignment w:val="auto"/>
        <w:rPr>
          <w:rFonts w:hint="default"/>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560" w:firstLineChars="200"/>
        <w:textAlignment w:val="auto"/>
        <w:rPr>
          <w:rFonts w:hint="eastAsia"/>
          <w:sz w:val="28"/>
          <w:szCs w:val="28"/>
        </w:rPr>
      </w:pPr>
    </w:p>
    <w:p>
      <w:pPr>
        <w:rPr>
          <w:rFonts w:hint="eastAsia"/>
          <w:lang w:val="en-US" w:eastAsia="zh-CN"/>
        </w:rPr>
      </w:pPr>
      <w:r>
        <w:rPr>
          <w:rFonts w:hint="eastAsia"/>
          <w:lang w:val="en-US" w:eastAsia="zh-CN"/>
        </w:rPr>
        <w:br w:type="page"/>
      </w:r>
    </w:p>
    <w:p>
      <w:pPr>
        <w:pStyle w:val="2"/>
        <w:bidi w:val="0"/>
        <w:outlineLvl w:val="0"/>
        <w:rPr>
          <w:rFonts w:hint="eastAsia" w:ascii="黑体" w:hAnsi="黑体" w:eastAsia="黑体" w:cs="黑体"/>
          <w:b w:val="0"/>
          <w:bCs/>
          <w:lang w:val="en-US" w:eastAsia="zh-CN"/>
        </w:rPr>
      </w:pPr>
      <w:bookmarkStart w:id="21" w:name="_Toc30509"/>
      <w:r>
        <w:rPr>
          <w:rFonts w:hint="eastAsia" w:ascii="黑体" w:hAnsi="黑体" w:eastAsia="黑体" w:cs="黑体"/>
          <w:b w:val="0"/>
          <w:bCs/>
          <w:lang w:val="en-US" w:eastAsia="zh-CN"/>
        </w:rPr>
        <w:t xml:space="preserve">附图1 </w:t>
      </w:r>
    </w:p>
    <w:bookmarkEnd w:id="21"/>
    <w:p>
      <w:pPr>
        <w:pStyle w:val="2"/>
        <w:keepNext/>
        <w:keepLines/>
        <w:pageBreakBefore w:val="0"/>
        <w:widowControl w:val="0"/>
        <w:kinsoku/>
        <w:wordWrap/>
        <w:overflowPunct/>
        <w:topLinePunct w:val="0"/>
        <w:autoSpaceDE w:val="0"/>
        <w:autoSpaceDN w:val="0"/>
        <w:bidi w:val="0"/>
        <w:adjustRightInd w:val="0"/>
        <w:snapToGrid/>
        <w:spacing w:before="0" w:beforeAutospacing="0" w:after="0" w:afterAutospacing="0" w:line="640" w:lineRule="exact"/>
        <w:jc w:val="center"/>
        <w:textAlignment w:val="auto"/>
        <w:outlineLvl w:val="0"/>
        <w:rPr>
          <w:rFonts w:hint="eastAsia"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兴安县全域露天禁烧区域和限烧区域示意图</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jc w:val="both"/>
        <w:textAlignment w:val="auto"/>
        <w:rPr>
          <w:rFonts w:hint="default"/>
          <w:b/>
          <w:bCs/>
          <w:sz w:val="28"/>
          <w:szCs w:val="28"/>
          <w:lang w:val="en-US" w:eastAsia="zh-CN"/>
        </w:rPr>
      </w:pPr>
      <w:r>
        <w:rPr>
          <w:rFonts w:hint="default"/>
          <w:b/>
          <w:bCs/>
          <w:sz w:val="28"/>
          <w:szCs w:val="28"/>
          <w:lang w:val="en-US" w:eastAsia="zh-CN"/>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137795</wp:posOffset>
            </wp:positionV>
            <wp:extent cx="5046980" cy="7132320"/>
            <wp:effectExtent l="0" t="0" r="1270" b="11430"/>
            <wp:wrapSquare wrapText="bothSides"/>
            <wp:docPr id="3" name="图片 3" descr="D:\外快项目\兴安县秸秆\9.11\01兴安县全域禁烧区域与限烧区域范围示意图.jpg01兴安县全域禁烧区域与限烧区域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外快项目\兴安县秸秆\9.11\01兴安县全域禁烧区域与限烧区域范围示意图.jpg01兴安县全域禁烧区域与限烧区域范围示意图"/>
                    <pic:cNvPicPr>
                      <a:picLocks noChangeAspect="1"/>
                    </pic:cNvPicPr>
                  </pic:nvPicPr>
                  <pic:blipFill>
                    <a:blip r:embed="rId9"/>
                    <a:srcRect/>
                    <a:stretch>
                      <a:fillRect/>
                    </a:stretch>
                  </pic:blipFill>
                  <pic:spPr>
                    <a:xfrm>
                      <a:off x="0" y="0"/>
                      <a:ext cx="5046980" cy="7132320"/>
                    </a:xfrm>
                    <a:prstGeom prst="rect">
                      <a:avLst/>
                    </a:prstGeom>
                  </pic:spPr>
                </pic:pic>
              </a:graphicData>
            </a:graphic>
          </wp:anchor>
        </w:drawing>
      </w:r>
    </w:p>
    <w:p>
      <w:pPr>
        <w:pStyle w:val="2"/>
        <w:bidi w:val="0"/>
        <w:outlineLvl w:val="0"/>
        <w:rPr>
          <w:rFonts w:hint="eastAsia" w:ascii="黑体" w:hAnsi="黑体" w:eastAsia="黑体" w:cs="黑体"/>
          <w:b w:val="0"/>
          <w:bCs/>
          <w:lang w:val="en-US" w:eastAsia="zh-CN"/>
        </w:rPr>
      </w:pPr>
      <w:bookmarkStart w:id="22" w:name="_Toc31459"/>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r>
        <w:rPr>
          <w:rFonts w:hint="eastAsia" w:ascii="黑体" w:hAnsi="黑体" w:eastAsia="黑体" w:cs="黑体"/>
          <w:b w:val="0"/>
          <w:bCs/>
          <w:lang w:val="en-US" w:eastAsia="zh-CN"/>
        </w:rPr>
        <w:t xml:space="preserve">附图2 </w:t>
      </w:r>
    </w:p>
    <w:bookmarkEnd w:id="22"/>
    <w:p>
      <w:pPr>
        <w:pStyle w:val="2"/>
        <w:keepNext/>
        <w:keepLines/>
        <w:pageBreakBefore w:val="0"/>
        <w:widowControl w:val="0"/>
        <w:kinsoku/>
        <w:wordWrap/>
        <w:overflowPunct/>
        <w:topLinePunct w:val="0"/>
        <w:autoSpaceDE w:val="0"/>
        <w:autoSpaceDN w:val="0"/>
        <w:bidi w:val="0"/>
        <w:adjustRightInd w:val="0"/>
        <w:snapToGrid/>
        <w:spacing w:before="0" w:beforeAutospacing="0" w:after="0" w:afterAutospacing="0" w:line="640" w:lineRule="exact"/>
        <w:jc w:val="center"/>
        <w:textAlignment w:val="auto"/>
        <w:outlineLvl w:val="0"/>
        <w:rPr>
          <w:rFonts w:hint="default"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兴安县路网禁烧区域范围示意图</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textAlignment w:val="auto"/>
        <w:rPr>
          <w:rFonts w:hint="default"/>
          <w:b/>
          <w:bCs/>
          <w:sz w:val="28"/>
          <w:szCs w:val="28"/>
          <w:lang w:val="en-US" w:eastAsia="zh-CN"/>
        </w:rPr>
      </w:pPr>
      <w:r>
        <w:rPr>
          <w:rFonts w:hint="default"/>
          <w:b/>
          <w:bCs/>
          <w:sz w:val="28"/>
          <w:szCs w:val="28"/>
          <w:lang w:val="en-US" w:eastAsia="zh-CN"/>
        </w:rPr>
        <w:drawing>
          <wp:anchor distT="0" distB="0" distL="114300" distR="114300" simplePos="0" relativeHeight="251660288" behindDoc="0" locked="0" layoutInCell="1" allowOverlap="1">
            <wp:simplePos x="0" y="0"/>
            <wp:positionH relativeFrom="column">
              <wp:posOffset>390525</wp:posOffset>
            </wp:positionH>
            <wp:positionV relativeFrom="paragraph">
              <wp:posOffset>52070</wp:posOffset>
            </wp:positionV>
            <wp:extent cx="5019675" cy="7093585"/>
            <wp:effectExtent l="0" t="0" r="9525" b="12065"/>
            <wp:wrapSquare wrapText="bothSides"/>
            <wp:docPr id="4" name="图片 4" descr="D:\外快项目\兴安县秸秆\9.11\02兴安县路网禁烧区域范围示意图.jpg02兴安县路网禁烧区域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外快项目\兴安县秸秆\9.11\02兴安县路网禁烧区域范围示意图.jpg02兴安县路网禁烧区域范围示意图"/>
                    <pic:cNvPicPr>
                      <a:picLocks noChangeAspect="1"/>
                    </pic:cNvPicPr>
                  </pic:nvPicPr>
                  <pic:blipFill>
                    <a:blip r:embed="rId10"/>
                    <a:srcRect/>
                    <a:stretch>
                      <a:fillRect/>
                    </a:stretch>
                  </pic:blipFill>
                  <pic:spPr>
                    <a:xfrm>
                      <a:off x="0" y="0"/>
                      <a:ext cx="5019675" cy="7093585"/>
                    </a:xfrm>
                    <a:prstGeom prst="rect">
                      <a:avLst/>
                    </a:prstGeom>
                  </pic:spPr>
                </pic:pic>
              </a:graphicData>
            </a:graphic>
          </wp:anchor>
        </w:drawing>
      </w:r>
    </w:p>
    <w:p>
      <w:pPr>
        <w:pStyle w:val="2"/>
        <w:bidi w:val="0"/>
        <w:outlineLvl w:val="0"/>
        <w:rPr>
          <w:rFonts w:hint="eastAsia" w:ascii="黑体" w:hAnsi="黑体" w:eastAsia="黑体" w:cs="黑体"/>
          <w:b w:val="0"/>
          <w:bCs/>
          <w:lang w:val="en-US" w:eastAsia="zh-CN"/>
        </w:rPr>
      </w:pPr>
      <w:bookmarkStart w:id="23" w:name="_Toc7502"/>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p>
    <w:p>
      <w:pPr>
        <w:pStyle w:val="2"/>
        <w:bidi w:val="0"/>
        <w:outlineLvl w:val="0"/>
        <w:rPr>
          <w:rFonts w:hint="eastAsia" w:ascii="黑体" w:hAnsi="黑体" w:eastAsia="黑体" w:cs="黑体"/>
          <w:b w:val="0"/>
          <w:bCs/>
          <w:lang w:val="en-US" w:eastAsia="zh-CN"/>
        </w:rPr>
      </w:pPr>
      <w:r>
        <w:rPr>
          <w:rFonts w:hint="eastAsia" w:ascii="黑体" w:hAnsi="黑体" w:eastAsia="黑体" w:cs="黑体"/>
          <w:b w:val="0"/>
          <w:bCs/>
          <w:lang w:val="en-US" w:eastAsia="zh-CN"/>
        </w:rPr>
        <w:t>附图3</w:t>
      </w:r>
    </w:p>
    <w:bookmarkEnd w:id="23"/>
    <w:p>
      <w:pPr>
        <w:pStyle w:val="2"/>
        <w:bidi w:val="0"/>
        <w:jc w:val="center"/>
        <w:outlineLvl w:val="0"/>
        <w:rPr>
          <w:rFonts w:hint="default"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兴安县建成区禁烧区域范围示意图</w:t>
      </w:r>
    </w:p>
    <w:p>
      <w:pPr>
        <w:jc w:val="center"/>
        <w:rPr>
          <w:rFonts w:hint="default"/>
          <w:b/>
          <w:bCs/>
          <w:sz w:val="28"/>
          <w:szCs w:val="28"/>
          <w:lang w:val="en-US" w:eastAsia="zh-CN"/>
        </w:rPr>
      </w:pPr>
      <w:r>
        <w:rPr>
          <w:rFonts w:hint="default"/>
          <w:b/>
          <w:bCs/>
          <w:sz w:val="28"/>
          <w:szCs w:val="28"/>
          <w:lang w:val="en-US" w:eastAsia="zh-CN"/>
        </w:rPr>
        <w:drawing>
          <wp:inline distT="0" distB="0" distL="114300" distR="114300">
            <wp:extent cx="4911090" cy="6941820"/>
            <wp:effectExtent l="0" t="0" r="3810" b="11430"/>
            <wp:docPr id="5" name="图片 4" descr="03兴安县建成区禁烧区域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3兴安县建成区禁烧区域范围示意图"/>
                    <pic:cNvPicPr>
                      <a:picLocks noChangeAspect="1"/>
                    </pic:cNvPicPr>
                  </pic:nvPicPr>
                  <pic:blipFill>
                    <a:blip r:embed="rId11"/>
                    <a:stretch>
                      <a:fillRect/>
                    </a:stretch>
                  </pic:blipFill>
                  <pic:spPr>
                    <a:xfrm>
                      <a:off x="0" y="0"/>
                      <a:ext cx="4911090" cy="6941820"/>
                    </a:xfrm>
                    <a:prstGeom prst="rect">
                      <a:avLst/>
                    </a:prstGeom>
                  </pic:spPr>
                </pic:pic>
              </a:graphicData>
            </a:graphic>
          </wp:inline>
        </w:drawing>
      </w:r>
      <w:r>
        <w:rPr>
          <w:rFonts w:hint="default"/>
          <w:b/>
          <w:bCs/>
          <w:sz w:val="28"/>
          <w:szCs w:val="28"/>
          <w:lang w:val="en-US" w:eastAsia="zh-CN"/>
        </w:rPr>
        <w:br w:type="page"/>
      </w:r>
    </w:p>
    <w:p>
      <w:pPr>
        <w:pStyle w:val="2"/>
        <w:bidi w:val="0"/>
        <w:outlineLvl w:val="0"/>
        <w:rPr>
          <w:rFonts w:hint="eastAsia" w:ascii="黑体" w:hAnsi="黑体" w:eastAsia="黑体" w:cs="黑体"/>
          <w:b w:val="0"/>
          <w:bCs/>
          <w:lang w:val="en-US" w:eastAsia="zh-CN"/>
        </w:rPr>
      </w:pPr>
      <w:bookmarkStart w:id="24" w:name="_Toc5849"/>
      <w:r>
        <w:rPr>
          <w:rFonts w:hint="eastAsia" w:ascii="黑体" w:hAnsi="黑体" w:eastAsia="黑体" w:cs="黑体"/>
          <w:b w:val="0"/>
          <w:bCs/>
          <w:lang w:val="en-US" w:eastAsia="zh-CN"/>
        </w:rPr>
        <w:t xml:space="preserve">附图4 </w:t>
      </w:r>
    </w:p>
    <w:bookmarkEnd w:id="24"/>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640" w:lineRule="exact"/>
        <w:jc w:val="center"/>
        <w:textAlignment w:val="auto"/>
        <w:outlineLvl w:val="0"/>
        <w:rPr>
          <w:rFonts w:hint="default"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兴安县机场禁烧区域范围示意图</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textAlignment w:val="auto"/>
        <w:rPr>
          <w:rFonts w:hint="default"/>
          <w:b/>
          <w:bCs/>
          <w:sz w:val="28"/>
          <w:szCs w:val="28"/>
          <w:lang w:val="en-US" w:eastAsia="zh-CN"/>
        </w:rPr>
      </w:pPr>
      <w:r>
        <w:rPr>
          <w:rFonts w:hint="default"/>
          <w:b/>
          <w:bCs/>
          <w:sz w:val="28"/>
          <w:szCs w:val="28"/>
          <w:lang w:val="en-US" w:eastAsia="zh-CN"/>
        </w:rPr>
        <w:drawing>
          <wp:anchor distT="0" distB="0" distL="114300" distR="114300" simplePos="0" relativeHeight="251661312" behindDoc="0" locked="0" layoutInCell="1" allowOverlap="1">
            <wp:simplePos x="0" y="0"/>
            <wp:positionH relativeFrom="column">
              <wp:posOffset>419100</wp:posOffset>
            </wp:positionH>
            <wp:positionV relativeFrom="paragraph">
              <wp:posOffset>26035</wp:posOffset>
            </wp:positionV>
            <wp:extent cx="5061585" cy="7152005"/>
            <wp:effectExtent l="0" t="0" r="5715" b="10795"/>
            <wp:wrapSquare wrapText="bothSides"/>
            <wp:docPr id="7" name="图片 5" descr="04兴安县机场禁烧区域范围示意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04兴安县机场禁烧区域范围示意图 -"/>
                    <pic:cNvPicPr>
                      <a:picLocks noChangeAspect="1"/>
                    </pic:cNvPicPr>
                  </pic:nvPicPr>
                  <pic:blipFill>
                    <a:blip r:embed="rId12"/>
                    <a:stretch>
                      <a:fillRect/>
                    </a:stretch>
                  </pic:blipFill>
                  <pic:spPr>
                    <a:xfrm>
                      <a:off x="0" y="0"/>
                      <a:ext cx="5061585" cy="7152005"/>
                    </a:xfrm>
                    <a:prstGeom prst="rect">
                      <a:avLst/>
                    </a:prstGeom>
                  </pic:spPr>
                </pic:pic>
              </a:graphicData>
            </a:graphic>
          </wp:anchor>
        </w:drawing>
      </w:r>
    </w:p>
    <w:p>
      <w:pPr>
        <w:rPr>
          <w:rFonts w:hint="default"/>
          <w:b/>
          <w:bCs/>
          <w:sz w:val="28"/>
          <w:szCs w:val="28"/>
          <w:lang w:val="en-US" w:eastAsia="zh-CN"/>
        </w:rPr>
      </w:pPr>
      <w:r>
        <w:rPr>
          <w:rFonts w:hint="default"/>
          <w:b/>
          <w:bCs/>
          <w:sz w:val="28"/>
          <w:szCs w:val="28"/>
          <w:lang w:val="en-US" w:eastAsia="zh-CN"/>
        </w:rPr>
        <w:br w:type="page"/>
      </w:r>
    </w:p>
    <w:p>
      <w:pPr>
        <w:pStyle w:val="2"/>
        <w:bidi w:val="0"/>
        <w:outlineLvl w:val="0"/>
        <w:rPr>
          <w:rFonts w:hint="eastAsia" w:ascii="黑体" w:hAnsi="黑体" w:eastAsia="黑体" w:cs="黑体"/>
          <w:b w:val="0"/>
          <w:bCs/>
          <w:lang w:val="en-US" w:eastAsia="zh-CN"/>
        </w:rPr>
      </w:pPr>
      <w:bookmarkStart w:id="25" w:name="_Toc2946"/>
      <w:r>
        <w:rPr>
          <w:rFonts w:hint="eastAsia" w:ascii="黑体" w:hAnsi="黑体" w:eastAsia="黑体" w:cs="黑体"/>
          <w:b w:val="0"/>
          <w:bCs/>
          <w:lang w:val="en-US" w:eastAsia="zh-CN"/>
        </w:rPr>
        <w:t xml:space="preserve">附图5 </w:t>
      </w:r>
    </w:p>
    <w:bookmarkEnd w:id="25"/>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640" w:lineRule="exact"/>
        <w:jc w:val="center"/>
        <w:textAlignment w:val="auto"/>
        <w:outlineLvl w:val="0"/>
        <w:rPr>
          <w:rFonts w:hint="default"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兴安县林场禁烧区域范围示意图</w:t>
      </w:r>
    </w:p>
    <w:p>
      <w:pPr>
        <w:rPr>
          <w:rFonts w:hint="default"/>
          <w:b/>
          <w:bCs/>
          <w:sz w:val="28"/>
          <w:szCs w:val="28"/>
          <w:lang w:val="en-US" w:eastAsia="zh-CN"/>
        </w:rPr>
      </w:pPr>
      <w:r>
        <w:rPr>
          <w:rFonts w:hint="default"/>
          <w:b/>
          <w:bCs/>
          <w:sz w:val="28"/>
          <w:szCs w:val="28"/>
          <w:lang w:val="en-US" w:eastAsia="zh-CN"/>
        </w:rPr>
        <w:drawing>
          <wp:anchor distT="0" distB="0" distL="114300" distR="114300" simplePos="0" relativeHeight="251662336" behindDoc="0" locked="0" layoutInCell="1" allowOverlap="1">
            <wp:simplePos x="0" y="0"/>
            <wp:positionH relativeFrom="column">
              <wp:posOffset>371475</wp:posOffset>
            </wp:positionH>
            <wp:positionV relativeFrom="paragraph">
              <wp:posOffset>44450</wp:posOffset>
            </wp:positionV>
            <wp:extent cx="4782185" cy="6758940"/>
            <wp:effectExtent l="0" t="0" r="18415" b="3810"/>
            <wp:wrapSquare wrapText="bothSides"/>
            <wp:docPr id="9" name="图片 7" descr="05兴安县林场禁烧区域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05兴安县林场禁烧区域范围示意图"/>
                    <pic:cNvPicPr>
                      <a:picLocks noChangeAspect="1"/>
                    </pic:cNvPicPr>
                  </pic:nvPicPr>
                  <pic:blipFill>
                    <a:blip r:embed="rId13"/>
                    <a:stretch>
                      <a:fillRect/>
                    </a:stretch>
                  </pic:blipFill>
                  <pic:spPr>
                    <a:xfrm>
                      <a:off x="0" y="0"/>
                      <a:ext cx="4782185" cy="6758940"/>
                    </a:xfrm>
                    <a:prstGeom prst="rect">
                      <a:avLst/>
                    </a:prstGeom>
                  </pic:spPr>
                </pic:pic>
              </a:graphicData>
            </a:graphic>
          </wp:anchor>
        </w:drawing>
      </w:r>
      <w:r>
        <w:rPr>
          <w:rFonts w:hint="default"/>
          <w:b/>
          <w:bCs/>
          <w:sz w:val="28"/>
          <w:szCs w:val="28"/>
          <w:lang w:val="en-US" w:eastAsia="zh-CN"/>
        </w:rPr>
        <w:br w:type="page"/>
      </w:r>
    </w:p>
    <w:p>
      <w:pPr>
        <w:pStyle w:val="2"/>
        <w:bidi w:val="0"/>
        <w:outlineLvl w:val="0"/>
        <w:rPr>
          <w:rFonts w:hint="eastAsia" w:ascii="黑体" w:hAnsi="黑体" w:eastAsia="黑体" w:cs="黑体"/>
          <w:b w:val="0"/>
          <w:bCs/>
          <w:lang w:val="en-US" w:eastAsia="zh-CN"/>
        </w:rPr>
      </w:pPr>
      <w:bookmarkStart w:id="26" w:name="_Toc16029"/>
      <w:r>
        <w:rPr>
          <w:rFonts w:hint="eastAsia" w:ascii="黑体" w:hAnsi="黑体" w:eastAsia="黑体" w:cs="黑体"/>
          <w:b w:val="0"/>
          <w:bCs/>
          <w:lang w:val="en-US" w:eastAsia="zh-CN"/>
        </w:rPr>
        <w:t xml:space="preserve">附图6 </w:t>
      </w:r>
    </w:p>
    <w:bookmarkEnd w:id="26"/>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640" w:lineRule="exact"/>
        <w:jc w:val="center"/>
        <w:textAlignment w:val="auto"/>
        <w:outlineLvl w:val="0"/>
        <w:rPr>
          <w:rFonts w:hint="default"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兴安县自然保护区禁烧区域范围示意图</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textAlignment w:val="auto"/>
        <w:rPr>
          <w:rFonts w:hint="default"/>
          <w:b/>
          <w:bCs/>
          <w:sz w:val="28"/>
          <w:szCs w:val="28"/>
          <w:lang w:val="en-US" w:eastAsia="zh-CN"/>
        </w:rPr>
      </w:pPr>
      <w:r>
        <w:rPr>
          <w:rFonts w:hint="default"/>
          <w:b/>
          <w:bCs/>
          <w:sz w:val="28"/>
          <w:szCs w:val="28"/>
          <w:lang w:val="en-US" w:eastAsia="zh-CN"/>
        </w:rPr>
        <w:drawing>
          <wp:anchor distT="0" distB="0" distL="114300" distR="114300" simplePos="0" relativeHeight="251663360" behindDoc="0" locked="0" layoutInCell="1" allowOverlap="1">
            <wp:simplePos x="0" y="0"/>
            <wp:positionH relativeFrom="column">
              <wp:posOffset>485775</wp:posOffset>
            </wp:positionH>
            <wp:positionV relativeFrom="paragraph">
              <wp:posOffset>44450</wp:posOffset>
            </wp:positionV>
            <wp:extent cx="4755515" cy="6720840"/>
            <wp:effectExtent l="0" t="0" r="6985" b="3810"/>
            <wp:wrapSquare wrapText="bothSides"/>
            <wp:docPr id="11" name="图片 6" descr="06兴安县自然保护区禁烧区域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06兴安县自然保护区禁烧区域范围示意图"/>
                    <pic:cNvPicPr>
                      <a:picLocks noChangeAspect="1"/>
                    </pic:cNvPicPr>
                  </pic:nvPicPr>
                  <pic:blipFill>
                    <a:blip r:embed="rId14"/>
                    <a:stretch>
                      <a:fillRect/>
                    </a:stretch>
                  </pic:blipFill>
                  <pic:spPr>
                    <a:xfrm>
                      <a:off x="0" y="0"/>
                      <a:ext cx="4755515" cy="6720840"/>
                    </a:xfrm>
                    <a:prstGeom prst="rect">
                      <a:avLst/>
                    </a:prstGeom>
                  </pic:spPr>
                </pic:pic>
              </a:graphicData>
            </a:graphic>
          </wp:anchor>
        </w:drawing>
      </w:r>
    </w:p>
    <w:p>
      <w:pPr>
        <w:jc w:val="left"/>
        <w:outlineLvl w:val="0"/>
        <w:rPr>
          <w:rStyle w:val="25"/>
          <w:rFonts w:hint="eastAsia"/>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textAlignment w:val="auto"/>
        <w:rPr>
          <w:rFonts w:hint="default"/>
          <w:b/>
          <w:bCs/>
          <w:sz w:val="28"/>
          <w:szCs w:val="28"/>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firstLine="4800" w:firstLineChars="1500"/>
        <w:textAlignment w:val="auto"/>
        <w:outlineLvl w:val="9"/>
        <w:rPr>
          <w:rFonts w:hint="eastAsia" w:ascii="方正小标宋简体" w:eastAsia="方正小标宋简体"/>
          <w:kern w:val="0"/>
          <w:sz w:val="32"/>
          <w:szCs w:val="32"/>
        </w:rPr>
      </w:pPr>
      <w:r>
        <w:rPr>
          <w:rFonts w:hint="eastAsia" w:ascii="仿宋_GB2312" w:hAnsi="宋体" w:eastAsia="仿宋_GB2312"/>
          <w:color w:val="000000"/>
          <w:sz w:val="32"/>
          <w:szCs w:val="32"/>
          <w:lang w:val="en-US" w:eastAsia="zh-CN"/>
        </w:rPr>
        <w:t xml:space="preserve">      </w:t>
      </w:r>
    </w:p>
    <w:p>
      <w:pPr>
        <w:autoSpaceDE w:val="0"/>
        <w:autoSpaceDN w:val="0"/>
        <w:adjustRightInd w:val="0"/>
        <w:rPr>
          <w:rFonts w:hint="eastAsia"/>
        </w:rPr>
      </w:pPr>
      <w:r>
        <w:rPr>
          <w:rFonts w:hint="eastAsia" w:ascii="方正小标宋简体" w:eastAsia="方正小标宋简体"/>
          <w:kern w:val="0"/>
          <w:sz w:val="32"/>
          <w:szCs w:val="32"/>
        </w:rPr>
        <w:t>公开方式：</w:t>
      </w:r>
      <w:r>
        <w:rPr>
          <w:rFonts w:hint="eastAsia" w:ascii="黑体" w:hAnsi="黑体" w:eastAsia="黑体" w:cs="黑体"/>
          <w:kern w:val="0"/>
          <w:sz w:val="32"/>
          <w:szCs w:val="32"/>
          <w:lang w:eastAsia="zh-CN"/>
        </w:rPr>
        <w:t>主动</w:t>
      </w:r>
      <w:r>
        <w:rPr>
          <w:rFonts w:hint="eastAsia" w:ascii="黑体" w:eastAsia="黑体"/>
          <w:kern w:val="0"/>
          <w:sz w:val="32"/>
          <w:szCs w:val="32"/>
        </w:rPr>
        <w:t>公开</w:t>
      </w:r>
      <w:r>
        <w:rPr>
          <w:rFonts w:hint="eastAsia" w:ascii="黑体" w:eastAsia="黑体"/>
          <w:kern w:val="0"/>
          <w:sz w:val="32"/>
          <w:szCs w:val="32"/>
          <w:lang w:val="en-US" w:eastAsia="zh-CN"/>
        </w:rPr>
        <w:t xml:space="preserve"> </w:t>
      </w:r>
    </w:p>
    <w:p>
      <w:pPr>
        <w:spacing w:line="60" w:lineRule="exact"/>
        <w:rPr>
          <w:rFonts w:hint="eastAsia"/>
        </w:rPr>
      </w:pPr>
    </w:p>
    <w:p>
      <w:pPr>
        <w:spacing w:line="60" w:lineRule="exact"/>
        <w:rPr>
          <w:rFonts w:hint="eastAsia"/>
        </w:rPr>
      </w:pPr>
    </w:p>
    <w:p>
      <w:pPr>
        <w:spacing w:line="60" w:lineRule="exact"/>
        <w:rPr>
          <w:rFonts w:hint="eastAsia"/>
        </w:rPr>
      </w:pPr>
    </w:p>
    <w:p>
      <w:pPr>
        <w:spacing w:line="60" w:lineRule="exact"/>
        <w:rPr>
          <w:rFonts w:hint="eastAsia"/>
        </w:rPr>
      </w:pPr>
    </w:p>
    <w:p>
      <w:pPr>
        <w:spacing w:line="60" w:lineRule="exact"/>
        <w:rPr>
          <w:rFonts w:hint="eastAsia"/>
        </w:rPr>
      </w:pPr>
    </w:p>
    <w:tbl>
      <w:tblPr>
        <w:tblStyle w:val="10"/>
        <w:tblW w:w="0" w:type="auto"/>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1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19" w:hRule="atLeast"/>
        </w:trPr>
        <w:tc>
          <w:tcPr>
            <w:tcW w:w="9104"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280" w:firstLineChars="100"/>
              <w:jc w:val="both"/>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抄送：县委各部门，各人民团体。</w:t>
            </w:r>
          </w:p>
          <w:p>
            <w:pPr>
              <w:keepNext w:val="0"/>
              <w:keepLines w:val="0"/>
              <w:pageBreakBefore w:val="0"/>
              <w:widowControl w:val="0"/>
              <w:kinsoku/>
              <w:wordWrap/>
              <w:overflowPunct/>
              <w:topLinePunct w:val="0"/>
              <w:autoSpaceDE/>
              <w:autoSpaceDN/>
              <w:bidi w:val="0"/>
              <w:adjustRightInd/>
              <w:snapToGrid/>
              <w:spacing w:line="500" w:lineRule="exact"/>
              <w:ind w:left="0" w:leftChars="0" w:right="174" w:rightChars="83"/>
              <w:jc w:val="both"/>
              <w:textAlignment w:val="auto"/>
              <w:outlineLvl w:val="9"/>
              <w:rPr>
                <w:rFonts w:hint="default" w:ascii="Times New Roman" w:hAnsi="Times New Roman" w:eastAsia="方正小标宋简体" w:cs="Times New Roman"/>
                <w:bCs/>
                <w:sz w:val="32"/>
                <w:szCs w:val="32"/>
              </w:rPr>
            </w:pPr>
            <w:r>
              <w:rPr>
                <w:rFonts w:hint="default" w:ascii="Times New Roman" w:hAnsi="Times New Roman" w:eastAsia="仿宋_GB2312" w:cs="Times New Roman"/>
                <w:sz w:val="28"/>
                <w:szCs w:val="28"/>
              </w:rPr>
              <w:t xml:space="preserve">        </w:t>
            </w:r>
            <w:r>
              <w:rPr>
                <w:rFonts w:ascii="仿宋_GB2312" w:hAnsi="仿宋_GB2312" w:eastAsia="仿宋_GB2312" w:cs="仿宋_GB2312"/>
                <w:b w:val="0"/>
                <w:bCs w:val="0"/>
                <w:color w:val="000000"/>
                <w:sz w:val="28"/>
                <w:szCs w:val="28"/>
              </w:rPr>
              <w:t>县人大常委会办公室</w:t>
            </w:r>
            <w:r>
              <w:rPr>
                <w:rFonts w:hint="default" w:ascii="Times New Roman" w:hAnsi="Times New Roman" w:eastAsia="仿宋_GB2312" w:cs="Times New Roman"/>
                <w:sz w:val="28"/>
                <w:szCs w:val="28"/>
              </w:rPr>
              <w:t>，县政协办</w:t>
            </w:r>
            <w:r>
              <w:rPr>
                <w:rFonts w:hint="eastAsia" w:ascii="Times New Roman" w:hAnsi="Times New Roman" w:eastAsia="仿宋_GB2312" w:cs="Times New Roman"/>
                <w:sz w:val="28"/>
                <w:szCs w:val="28"/>
                <w:lang w:eastAsia="zh-CN"/>
              </w:rPr>
              <w:t>公室</w:t>
            </w:r>
            <w:r>
              <w:rPr>
                <w:rFonts w:hint="default" w:ascii="Times New Roman" w:hAnsi="Times New Roman" w:eastAsia="仿宋_GB2312" w:cs="Times New Roman"/>
                <w:sz w:val="28"/>
                <w:szCs w:val="28"/>
              </w:rPr>
              <w:t xml:space="preserve">，县法院，县检察院。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104" w:type="dxa"/>
            <w:noWrap w:val="0"/>
            <w:vAlign w:val="top"/>
          </w:tcPr>
          <w:p>
            <w:pPr>
              <w:spacing w:line="500" w:lineRule="exact"/>
              <w:ind w:firstLine="280" w:firstLineChars="100"/>
              <w:rPr>
                <w:rFonts w:hint="default" w:ascii="Times New Roman" w:hAnsi="Times New Roman" w:eastAsia="方正小标宋简体" w:cs="Times New Roman"/>
                <w:bCs/>
                <w:sz w:val="32"/>
                <w:szCs w:val="32"/>
              </w:rPr>
            </w:pPr>
            <w:r>
              <w:rPr>
                <w:rFonts w:hint="default" w:ascii="Times New Roman" w:hAnsi="Times New Roman" w:eastAsia="仿宋_GB2312" w:cs="Times New Roman"/>
                <w:sz w:val="28"/>
                <w:szCs w:val="28"/>
              </w:rPr>
              <w:t xml:space="preserve">兴安县人民政府办公室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20</w:t>
            </w:r>
            <w:r>
              <w:rPr>
                <w:rFonts w:hint="eastAsia" w:ascii="Times New Roman" w:hAnsi="Times New Roman" w:eastAsia="仿宋_GB2312" w:cs="Times New Roman"/>
                <w:sz w:val="28"/>
                <w:szCs w:val="28"/>
                <w:lang w:val="en-US" w:eastAsia="zh-CN"/>
              </w:rPr>
              <w:t>23</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日印发</w:t>
            </w:r>
          </w:p>
        </w:tc>
      </w:tr>
    </w:tbl>
    <w:p>
      <w:pPr>
        <w:keepNext w:val="0"/>
        <w:keepLines w:val="0"/>
        <w:pageBreakBefore w:val="0"/>
        <w:widowControl/>
        <w:kinsoku/>
        <w:wordWrap/>
        <w:overflowPunct/>
        <w:topLinePunct w:val="0"/>
        <w:autoSpaceDE/>
        <w:autoSpaceDN/>
        <w:bidi w:val="0"/>
        <w:adjustRightInd/>
        <w:snapToGrid/>
        <w:spacing w:line="20" w:lineRule="exact"/>
        <w:ind w:left="0" w:leftChars="0" w:right="0" w:rightChars="0" w:firstLine="0" w:firstLineChars="0"/>
        <w:jc w:val="left"/>
        <w:textAlignment w:val="auto"/>
        <w:outlineLvl w:val="9"/>
        <w:rPr>
          <w:rFonts w:hint="eastAsia" w:ascii="仿宋_GB2312" w:hAnsi="仿宋_GB2312" w:eastAsia="仿宋_GB2312" w:cs="仿宋_GB2312"/>
          <w:bCs/>
          <w:sz w:val="32"/>
          <w:szCs w:val="32"/>
          <w:u w:val="thick"/>
        </w:rPr>
      </w:pPr>
    </w:p>
    <w:p>
      <w:pPr>
        <w:spacing w:line="60" w:lineRule="exact"/>
        <w:rPr>
          <w:rFonts w:hint="default" w:ascii="Times New Roman" w:hAnsi="Times New Roman" w:cs="Times New Roman"/>
        </w:rPr>
      </w:pPr>
    </w:p>
    <w:p>
      <w:pPr>
        <w:spacing w:line="60" w:lineRule="exact"/>
        <w:rPr>
          <w:rFonts w:hint="default" w:ascii="Times New Roman" w:hAnsi="Times New Roman" w:cs="Times New Roman"/>
        </w:rPr>
      </w:pPr>
    </w:p>
    <w:p>
      <w:pPr>
        <w:spacing w:line="40" w:lineRule="exact"/>
        <w:rPr>
          <w:rFonts w:hint="default" w:ascii="Times New Roman" w:hAnsi="Times New Roman" w:eastAsia="方正小标宋简体" w:cs="Times New Roman"/>
          <w:bCs/>
          <w:sz w:val="32"/>
          <w:szCs w:val="32"/>
          <w:u w:val="thick"/>
        </w:rPr>
      </w:pPr>
    </w:p>
    <w:p>
      <w:pPr>
        <w:spacing w:line="40" w:lineRule="exact"/>
        <w:rPr>
          <w:rFonts w:hint="default" w:ascii="Times New Roman" w:hAnsi="Times New Roman" w:eastAsia="方正小标宋简体" w:cs="Times New Roman"/>
          <w:bCs/>
          <w:sz w:val="32"/>
          <w:szCs w:val="32"/>
          <w:u w:val="thick"/>
        </w:rPr>
      </w:pPr>
    </w:p>
    <w:p>
      <w:pPr>
        <w:spacing w:line="40" w:lineRule="exact"/>
        <w:rPr>
          <w:rFonts w:hint="default" w:ascii="Times New Roman" w:hAnsi="Times New Roman" w:eastAsia="方正小标宋简体" w:cs="Times New Roman"/>
          <w:bCs/>
          <w:sz w:val="32"/>
          <w:szCs w:val="32"/>
          <w:u w:val="thick"/>
        </w:rPr>
      </w:pPr>
    </w:p>
    <w:p>
      <w:pPr>
        <w:keepNext w:val="0"/>
        <w:keepLines w:val="0"/>
        <w:pageBreakBefore w:val="0"/>
        <w:widowControl/>
        <w:kinsoku/>
        <w:wordWrap/>
        <w:overflowPunct/>
        <w:topLinePunct w:val="0"/>
        <w:autoSpaceDE/>
        <w:autoSpaceDN/>
        <w:bidi w:val="0"/>
        <w:adjustRightInd/>
        <w:snapToGrid/>
        <w:spacing w:line="20" w:lineRule="exact"/>
        <w:ind w:left="0" w:leftChars="0" w:right="0" w:rightChars="0" w:firstLine="0" w:firstLineChars="0"/>
        <w:jc w:val="left"/>
        <w:textAlignment w:val="auto"/>
        <w:outlineLvl w:val="9"/>
        <w:rPr>
          <w:rFonts w:hint="eastAsia" w:ascii="仿宋_GB2312" w:hAnsi="仿宋_GB2312" w:eastAsia="仿宋_GB2312" w:cs="仿宋_GB2312"/>
          <w:bCs/>
          <w:sz w:val="32"/>
          <w:szCs w:val="32"/>
          <w:u w:val="thick"/>
        </w:rPr>
      </w:pPr>
    </w:p>
    <w:sectPr>
      <w:footerReference r:id="rId6" w:type="default"/>
      <w:footerReference r:id="rId7" w:type="even"/>
      <w:pgSz w:w="11906" w:h="16838"/>
      <w:pgMar w:top="2098" w:right="1304" w:bottom="1304" w:left="1587" w:header="851" w:footer="1361" w:gutter="0"/>
      <w:paperSrc/>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8064"/>
        <w:tab w:val="clear" w:pos="4153"/>
      </w:tabs>
      <w:rPr>
        <w:rFonts w:hint="eastAsia" w:eastAsiaTheme="minor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3</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fpEsAgAAVg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r9+kSwCAABWBAAADgAAAAAAAAABACAAAAAfAQAAZHJzL2Uyb0RvYy54bWxQSwUGAAAAAAYA&#10;BgBZAQAAvQ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3</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hint="eastAsia" w:asciiTheme="minorEastAsia" w:hAnsi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037590" cy="2432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37590" cy="243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b w:val="0"/>
                              <w:bCs/>
                            </w:rPr>
                          </w:pPr>
                          <w:r>
                            <w:rPr>
                              <w:b w:val="0"/>
                              <w:bCs/>
                            </w:rPr>
                            <w:t xml:space="preserve">— </w:t>
                          </w:r>
                          <w:r>
                            <w:rPr>
                              <w:b w:val="0"/>
                              <w:bCs/>
                            </w:rPr>
                            <w:fldChar w:fldCharType="begin"/>
                          </w:r>
                          <w:r>
                            <w:rPr>
                              <w:b w:val="0"/>
                              <w:bCs/>
                            </w:rPr>
                            <w:instrText xml:space="preserve"> PAGE  \* MERGEFORMAT </w:instrText>
                          </w:r>
                          <w:r>
                            <w:rPr>
                              <w:b w:val="0"/>
                              <w:bCs/>
                            </w:rPr>
                            <w:fldChar w:fldCharType="separate"/>
                          </w:r>
                          <w:r>
                            <w:rPr>
                              <w:b w:val="0"/>
                              <w:bCs/>
                            </w:rPr>
                            <w:t>5</w:t>
                          </w:r>
                          <w:r>
                            <w:rPr>
                              <w:b w:val="0"/>
                              <w:bCs/>
                            </w:rPr>
                            <w:fldChar w:fldCharType="end"/>
                          </w:r>
                          <w:r>
                            <w:rPr>
                              <w:b w:val="0"/>
                              <w:bCs/>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9.15pt;width:81.7pt;mso-position-horizontal:outside;mso-position-horizontal-relative:margin;z-index:251659264;mso-width-relative:page;mso-height-relative:page;" filled="f" stroked="f" coordsize="21600,21600" o:gfxdata="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qzC7dQAAAAEAQAADwAAAAAAAAABACAAAAAiAAAAZHJzL2Rvd25yZXYu&#10;eG1sUEsBAhQAFAAAAAgAh07iQMFCTyE4AgAAYgQAAA4AAAAAAAAAAQAgAAAAIwEAAGRycy9lMm9E&#10;b2MueG1sUEsFBgAAAAAGAAYAWQEAAM0FAAAAAA==&#10;">
              <v:fill on="f" focussize="0,0"/>
              <v:stroke on="f" weight="0.5pt"/>
              <v:imagedata o:title=""/>
              <o:lock v:ext="edit" aspectratio="f"/>
              <v:textbox inset="0mm,0mm,0mm,0mm">
                <w:txbxContent>
                  <w:p>
                    <w:pPr>
                      <w:pStyle w:val="2"/>
                      <w:jc w:val="center"/>
                      <w:rPr>
                        <w:b w:val="0"/>
                        <w:bCs/>
                      </w:rPr>
                    </w:pPr>
                    <w:r>
                      <w:rPr>
                        <w:b w:val="0"/>
                        <w:bCs/>
                      </w:rPr>
                      <w:t xml:space="preserve">— </w:t>
                    </w:r>
                    <w:r>
                      <w:rPr>
                        <w:b w:val="0"/>
                        <w:bCs/>
                      </w:rPr>
                      <w:fldChar w:fldCharType="begin"/>
                    </w:r>
                    <w:r>
                      <w:rPr>
                        <w:b w:val="0"/>
                        <w:bCs/>
                      </w:rPr>
                      <w:instrText xml:space="preserve"> PAGE  \* MERGEFORMAT </w:instrText>
                    </w:r>
                    <w:r>
                      <w:rPr>
                        <w:b w:val="0"/>
                        <w:bCs/>
                      </w:rPr>
                      <w:fldChar w:fldCharType="separate"/>
                    </w:r>
                    <w:r>
                      <w:rPr>
                        <w:b w:val="0"/>
                        <w:bCs/>
                      </w:rPr>
                      <w:t>5</w:t>
                    </w:r>
                    <w:r>
                      <w:rPr>
                        <w:b w:val="0"/>
                        <w:bCs/>
                      </w:rPr>
                      <w:fldChar w:fldCharType="end"/>
                    </w:r>
                    <w:r>
                      <w:rPr>
                        <w:b w:val="0"/>
                        <w:bCs/>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Theme="minorEastAsia" w:hAnsiTheme="min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017270" cy="2336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17270" cy="233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b w:val="0"/>
                              <w:bCs/>
                            </w:rPr>
                          </w:pPr>
                          <w:r>
                            <w:rPr>
                              <w:b w:val="0"/>
                              <w:bCs/>
                            </w:rPr>
                            <w:t xml:space="preserve">— </w:t>
                          </w:r>
                          <w:r>
                            <w:rPr>
                              <w:b w:val="0"/>
                              <w:bCs/>
                            </w:rPr>
                            <w:fldChar w:fldCharType="begin"/>
                          </w:r>
                          <w:r>
                            <w:rPr>
                              <w:b w:val="0"/>
                              <w:bCs/>
                            </w:rPr>
                            <w:instrText xml:space="preserve"> PAGE  \* MERGEFORMAT </w:instrText>
                          </w:r>
                          <w:r>
                            <w:rPr>
                              <w:b w:val="0"/>
                              <w:bCs/>
                            </w:rPr>
                            <w:fldChar w:fldCharType="separate"/>
                          </w:r>
                          <w:r>
                            <w:rPr>
                              <w:b w:val="0"/>
                              <w:bCs/>
                            </w:rPr>
                            <w:t>6</w:t>
                          </w:r>
                          <w:r>
                            <w:rPr>
                              <w:b w:val="0"/>
                              <w:bCs/>
                            </w:rPr>
                            <w:fldChar w:fldCharType="end"/>
                          </w:r>
                          <w:r>
                            <w:rPr>
                              <w:b w:val="0"/>
                              <w:bCs/>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4pt;width:80.1pt;mso-position-horizontal:outside;mso-position-horizontal-relative:margin;z-index:251660288;mso-width-relative:page;mso-height-relative:page;" filled="f" stroked="f" coordsize="21600,21600" o:gfxdata="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UmSuDTAAAABAEAAA8AAAAAAAAAAQAgAAAAIgAAAGRycy9kb3ducmV2Lnht&#10;bFBLAQIUABQAAAAIAIdO4kCKsbe9NwIAAGIEAAAOAAAAAAAAAAEAIAAAACIBAABkcnMvZTJvRG9j&#10;LnhtbFBLBQYAAAAABgAGAFkBAADLBQAAAAA=&#10;">
              <v:fill on="f" focussize="0,0"/>
              <v:stroke on="f" weight="0.5pt"/>
              <v:imagedata o:title=""/>
              <o:lock v:ext="edit" aspectratio="f"/>
              <v:textbox inset="0mm,0mm,0mm,0mm">
                <w:txbxContent>
                  <w:p>
                    <w:pPr>
                      <w:pStyle w:val="2"/>
                      <w:jc w:val="center"/>
                      <w:rPr>
                        <w:b w:val="0"/>
                        <w:bCs/>
                      </w:rPr>
                    </w:pPr>
                    <w:r>
                      <w:rPr>
                        <w:b w:val="0"/>
                        <w:bCs/>
                      </w:rPr>
                      <w:t xml:space="preserve">— </w:t>
                    </w:r>
                    <w:r>
                      <w:rPr>
                        <w:b w:val="0"/>
                        <w:bCs/>
                      </w:rPr>
                      <w:fldChar w:fldCharType="begin"/>
                    </w:r>
                    <w:r>
                      <w:rPr>
                        <w:b w:val="0"/>
                        <w:bCs/>
                      </w:rPr>
                      <w:instrText xml:space="preserve"> PAGE  \* MERGEFORMAT </w:instrText>
                    </w:r>
                    <w:r>
                      <w:rPr>
                        <w:b w:val="0"/>
                        <w:bCs/>
                      </w:rPr>
                      <w:fldChar w:fldCharType="separate"/>
                    </w:r>
                    <w:r>
                      <w:rPr>
                        <w:b w:val="0"/>
                        <w:bCs/>
                      </w:rPr>
                      <w:t>6</w:t>
                    </w:r>
                    <w:r>
                      <w:rPr>
                        <w:b w:val="0"/>
                        <w:bCs/>
                      </w:rPr>
                      <w:fldChar w:fldCharType="end"/>
                    </w:r>
                    <w:r>
                      <w:rPr>
                        <w:b w:val="0"/>
                        <w:bCs/>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hYzBkYjYwNGEzYTMyY2YwYmFiNjFiZWU5NDUwMmEifQ=="/>
  </w:docVars>
  <w:rsids>
    <w:rsidRoot w:val="00592CFE"/>
    <w:rsid w:val="00040913"/>
    <w:rsid w:val="00161ECE"/>
    <w:rsid w:val="001A07FD"/>
    <w:rsid w:val="00200117"/>
    <w:rsid w:val="002369A2"/>
    <w:rsid w:val="00266656"/>
    <w:rsid w:val="0029080A"/>
    <w:rsid w:val="002F0AF8"/>
    <w:rsid w:val="003E6B24"/>
    <w:rsid w:val="00592CFE"/>
    <w:rsid w:val="005F007A"/>
    <w:rsid w:val="006414F6"/>
    <w:rsid w:val="0065690E"/>
    <w:rsid w:val="00724133"/>
    <w:rsid w:val="0077591A"/>
    <w:rsid w:val="007B38C5"/>
    <w:rsid w:val="007B7D91"/>
    <w:rsid w:val="00821D42"/>
    <w:rsid w:val="008321B3"/>
    <w:rsid w:val="0089651E"/>
    <w:rsid w:val="00912CC8"/>
    <w:rsid w:val="00A43E7F"/>
    <w:rsid w:val="00AC3CFE"/>
    <w:rsid w:val="00AD092F"/>
    <w:rsid w:val="00AF59E4"/>
    <w:rsid w:val="00BC3C32"/>
    <w:rsid w:val="00C61369"/>
    <w:rsid w:val="00C641CB"/>
    <w:rsid w:val="00CF4E1C"/>
    <w:rsid w:val="00D1573A"/>
    <w:rsid w:val="00D670D1"/>
    <w:rsid w:val="00DA4CB8"/>
    <w:rsid w:val="00E97368"/>
    <w:rsid w:val="00F126EE"/>
    <w:rsid w:val="00F97DAD"/>
    <w:rsid w:val="00FD6010"/>
    <w:rsid w:val="01EA2E14"/>
    <w:rsid w:val="02D3041A"/>
    <w:rsid w:val="043177EB"/>
    <w:rsid w:val="04937572"/>
    <w:rsid w:val="06BB2083"/>
    <w:rsid w:val="087D367F"/>
    <w:rsid w:val="0A5D5410"/>
    <w:rsid w:val="0D8B27AF"/>
    <w:rsid w:val="0DF468E8"/>
    <w:rsid w:val="10381C2D"/>
    <w:rsid w:val="12485112"/>
    <w:rsid w:val="13BC1C0A"/>
    <w:rsid w:val="156009C5"/>
    <w:rsid w:val="15B62BE9"/>
    <w:rsid w:val="1A5403CD"/>
    <w:rsid w:val="1C92528F"/>
    <w:rsid w:val="1ED77DDF"/>
    <w:rsid w:val="22F9655E"/>
    <w:rsid w:val="27054F28"/>
    <w:rsid w:val="2A4B759E"/>
    <w:rsid w:val="311E2B71"/>
    <w:rsid w:val="321C6335"/>
    <w:rsid w:val="32C80BC1"/>
    <w:rsid w:val="33062286"/>
    <w:rsid w:val="36C50715"/>
    <w:rsid w:val="3A4057F3"/>
    <w:rsid w:val="42D13AC7"/>
    <w:rsid w:val="43564A67"/>
    <w:rsid w:val="449B1C68"/>
    <w:rsid w:val="4D6D7F9C"/>
    <w:rsid w:val="534E7AD3"/>
    <w:rsid w:val="56040B2F"/>
    <w:rsid w:val="5B53200F"/>
    <w:rsid w:val="60003F04"/>
    <w:rsid w:val="69484093"/>
    <w:rsid w:val="7344669C"/>
    <w:rsid w:val="74424693"/>
    <w:rsid w:val="764325C4"/>
    <w:rsid w:val="7A6C7190"/>
    <w:rsid w:val="7AED086D"/>
    <w:rsid w:val="7BE62355"/>
    <w:rsid w:val="7CF23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3"/>
    <w:basedOn w:val="1"/>
    <w:next w:val="1"/>
    <w:link w:val="25"/>
    <w:unhideWhenUsed/>
    <w:qFormat/>
    <w:uiPriority w:val="0"/>
    <w:pPr>
      <w:spacing w:before="100" w:beforeAutospacing="1" w:after="100" w:afterAutospacing="1"/>
      <w:jc w:val="left"/>
      <w:outlineLvl w:val="2"/>
    </w:pPr>
    <w:rPr>
      <w:rFonts w:ascii="宋体" w:hAnsi="宋体"/>
      <w:b/>
      <w:kern w:val="0"/>
      <w:sz w:val="27"/>
      <w:szCs w:val="27"/>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ocument Map"/>
    <w:basedOn w:val="1"/>
    <w:qFormat/>
    <w:uiPriority w:val="0"/>
    <w:pPr>
      <w:shd w:val="clear" w:color="auto" w:fill="000080"/>
    </w:pPr>
  </w:style>
  <w:style w:type="paragraph" w:styleId="5">
    <w:name w:val="Plain Text"/>
    <w:basedOn w:val="1"/>
    <w:qFormat/>
    <w:uiPriority w:val="0"/>
    <w:rPr>
      <w:rFonts w:ascii="宋体" w:hAnsi="Courier New" w:cs="Courier New"/>
      <w:sz w:val="21"/>
      <w:szCs w:val="21"/>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page number"/>
    <w:basedOn w:val="11"/>
    <w:qFormat/>
    <w:uiPriority w:val="0"/>
  </w:style>
  <w:style w:type="paragraph" w:styleId="14">
    <w:name w:val="List Paragraph"/>
    <w:basedOn w:val="1"/>
    <w:qFormat/>
    <w:uiPriority w:val="34"/>
    <w:pPr>
      <w:ind w:firstLine="420" w:firstLineChars="200"/>
    </w:pPr>
  </w:style>
  <w:style w:type="paragraph" w:customStyle="1" w:styleId="15">
    <w:name w:val="p"/>
    <w:basedOn w:val="1"/>
    <w:qFormat/>
    <w:uiPriority w:val="0"/>
    <w:pPr>
      <w:spacing w:line="525" w:lineRule="atLeast"/>
      <w:ind w:firstLine="375"/>
    </w:pPr>
    <w:rPr>
      <w:rFonts w:ascii="Times New Roman" w:hAnsi="Times New Roman" w:eastAsia="宋体" w:cs="Times New Roman"/>
      <w:szCs w:val="21"/>
    </w:rPr>
  </w:style>
  <w:style w:type="character" w:customStyle="1" w:styleId="16">
    <w:name w:val="页眉 Char"/>
    <w:basedOn w:val="11"/>
    <w:link w:val="7"/>
    <w:qFormat/>
    <w:uiPriority w:val="99"/>
    <w:rPr>
      <w:sz w:val="18"/>
      <w:szCs w:val="18"/>
    </w:rPr>
  </w:style>
  <w:style w:type="character" w:customStyle="1" w:styleId="17">
    <w:name w:val="页脚 Char"/>
    <w:basedOn w:val="11"/>
    <w:link w:val="6"/>
    <w:qFormat/>
    <w:uiPriority w:val="99"/>
    <w:rPr>
      <w:sz w:val="18"/>
      <w:szCs w:val="18"/>
    </w:rPr>
  </w:style>
  <w:style w:type="character" w:customStyle="1" w:styleId="18">
    <w:name w:val="NormalCharacter"/>
    <w:qFormat/>
    <w:uiPriority w:val="0"/>
    <w:rPr>
      <w:kern w:val="2"/>
      <w:sz w:val="21"/>
      <w:szCs w:val="24"/>
      <w:lang w:val="en-US" w:eastAsia="zh-CN" w:bidi="ar-SA"/>
    </w:rPr>
  </w:style>
  <w:style w:type="paragraph" w:customStyle="1" w:styleId="19">
    <w:name w:val="p0"/>
    <w:basedOn w:val="1"/>
    <w:qFormat/>
    <w:uiPriority w:val="0"/>
    <w:pPr>
      <w:widowControl/>
    </w:pPr>
    <w:rPr>
      <w:rFonts w:ascii="Calibri" w:hAnsi="Calibri" w:eastAsia="宋体" w:cs="宋体"/>
      <w:kern w:val="0"/>
      <w:szCs w:val="21"/>
    </w:rPr>
  </w:style>
  <w:style w:type="paragraph" w:customStyle="1" w:styleId="20">
    <w:name w:val="Char"/>
    <w:basedOn w:val="4"/>
    <w:qFormat/>
    <w:uiPriority w:val="0"/>
    <w:pPr>
      <w:adjustRightInd w:val="0"/>
      <w:spacing w:line="436" w:lineRule="exact"/>
    </w:pPr>
    <w:rPr>
      <w:szCs w:val="20"/>
    </w:rPr>
  </w:style>
  <w:style w:type="character" w:customStyle="1" w:styleId="21">
    <w:name w:val="font41"/>
    <w:basedOn w:val="11"/>
    <w:qFormat/>
    <w:uiPriority w:val="0"/>
    <w:rPr>
      <w:rFonts w:hint="default" w:ascii="Times New Roman" w:hAnsi="Times New Roman" w:cs="Times New Roman"/>
      <w:color w:val="000000"/>
      <w:sz w:val="24"/>
      <w:szCs w:val="24"/>
      <w:u w:val="none"/>
    </w:rPr>
  </w:style>
  <w:style w:type="character" w:customStyle="1" w:styleId="22">
    <w:name w:val="font21"/>
    <w:basedOn w:val="11"/>
    <w:qFormat/>
    <w:uiPriority w:val="0"/>
    <w:rPr>
      <w:rFonts w:hint="eastAsia" w:ascii="仿宋_GB2312" w:eastAsia="仿宋_GB2312" w:cs="仿宋_GB2312"/>
      <w:color w:val="000000"/>
      <w:sz w:val="24"/>
      <w:szCs w:val="24"/>
      <w:u w:val="none"/>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character" w:customStyle="1" w:styleId="25">
    <w:name w:val="标题 3 Char"/>
    <w:link w:val="2"/>
    <w:qFormat/>
    <w:uiPriority w:val="0"/>
    <w:rPr>
      <w:rFonts w:ascii="宋体" w:hAnsi="宋体"/>
      <w:b/>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65</Pages>
  <Words>21394</Words>
  <Characters>83264</Characters>
  <Lines>28</Lines>
  <Paragraphs>8</Paragraphs>
  <TotalTime>1</TotalTime>
  <ScaleCrop>false</ScaleCrop>
  <LinksUpToDate>false</LinksUpToDate>
  <CharactersWithSpaces>83849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2020-06-28T03:14:00Z</dcterms:created>
  <dc:creator>Administrator</dc:creator>
  <cp:lastModifiedBy>Administrator</cp:lastModifiedBy>
  <cp:lastPrinted>2021-04-29T23:55:00Z</cp:lastPrinted>
  <dcterms:modified xsi:type="dcterms:W3CDTF">2023-04-07T01:04:19Z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646D3BF734FB4F3BAEDA56C81E6D91A0_13</vt:lpwstr>
  </property>
</Properties>
</file>