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570" w:lineRule="exact"/>
        <w:rPr>
          <w:rFonts w:hint="eastAsia" w:ascii="黑体" w:hAnsi="黑体" w:eastAsia="黑体" w:cs="黑体"/>
          <w:sz w:val="32"/>
          <w:szCs w:val="32"/>
          <w:highlight w:val="none"/>
          <w:lang w:val="en-US" w:eastAsia="zh-CN"/>
        </w:rPr>
      </w:pPr>
    </w:p>
    <w:p>
      <w:pPr>
        <w:shd w:val="clear"/>
        <w:adjustRightInd w:val="0"/>
        <w:snapToGrid w:val="0"/>
        <w:spacing w:line="570" w:lineRule="exact"/>
        <w:jc w:val="center"/>
        <w:rPr>
          <w:rFonts w:hint="eastAsia" w:ascii="方正小标宋_GBK" w:eastAsia="方正小标宋_GBK"/>
          <w:sz w:val="44"/>
          <w:szCs w:val="44"/>
          <w:highlight w:val="none"/>
          <w:lang w:eastAsia="zh-CN"/>
        </w:rPr>
      </w:pPr>
      <w:bookmarkStart w:id="0" w:name="_GoBack"/>
      <w:r>
        <w:rPr>
          <w:rFonts w:hint="eastAsia" w:ascii="方正小标宋_GBK" w:eastAsia="方正小标宋_GBK" w:cs="方正小标宋_GBK"/>
          <w:sz w:val="44"/>
          <w:szCs w:val="44"/>
          <w:highlight w:val="none"/>
          <w:lang w:eastAsia="zh-CN"/>
        </w:rPr>
        <w:t>兴安县</w:t>
      </w:r>
      <w:r>
        <w:rPr>
          <w:rFonts w:hint="eastAsia" w:ascii="方正小标宋_GBK" w:eastAsia="方正小标宋_GBK" w:cs="方正小标宋_GBK"/>
          <w:sz w:val="44"/>
          <w:szCs w:val="44"/>
          <w:highlight w:val="none"/>
          <w:lang w:val="en-US" w:eastAsia="zh-CN"/>
        </w:rPr>
        <w:t>界首镇</w:t>
      </w:r>
      <w:r>
        <w:rPr>
          <w:rFonts w:hint="eastAsia" w:ascii="方正小标宋_GBK" w:eastAsia="方正小标宋_GBK" w:cs="方正小标宋_GBK"/>
          <w:sz w:val="44"/>
          <w:szCs w:val="44"/>
          <w:highlight w:val="none"/>
          <w:lang w:eastAsia="zh-CN"/>
        </w:rPr>
        <w:t>人民政府</w:t>
      </w:r>
      <w:r>
        <w:rPr>
          <w:rFonts w:hint="eastAsia" w:ascii="方正小标宋_GBK" w:eastAsia="方正小标宋_GBK" w:cs="方正小标宋_GBK"/>
          <w:sz w:val="44"/>
          <w:szCs w:val="44"/>
          <w:highlight w:val="none"/>
        </w:rPr>
        <w:t>权责清单</w:t>
      </w:r>
      <w:bookmarkEnd w:id="0"/>
    </w:p>
    <w:tbl>
      <w:tblPr>
        <w:tblStyle w:val="12"/>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505"/>
        <w:gridCol w:w="1871"/>
        <w:gridCol w:w="5658"/>
        <w:gridCol w:w="2035"/>
        <w:gridCol w:w="3826"/>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restart"/>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r>
              <w:rPr>
                <w:rFonts w:hint="eastAsia" w:ascii="方正黑体_GBK" w:hAnsi="黑体" w:eastAsia="方正黑体_GBK" w:cs="方正黑体_GBK"/>
                <w:color w:val="auto"/>
                <w:kern w:val="0"/>
                <w:sz w:val="20"/>
                <w:szCs w:val="20"/>
                <w:highlight w:val="none"/>
              </w:rPr>
              <w:t>序号</w:t>
            </w:r>
          </w:p>
        </w:tc>
        <w:tc>
          <w:tcPr>
            <w:tcW w:w="308"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权力分类</w:t>
            </w:r>
          </w:p>
        </w:tc>
        <w:tc>
          <w:tcPr>
            <w:tcW w:w="6529"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权力清单</w:t>
            </w:r>
          </w:p>
        </w:tc>
        <w:tc>
          <w:tcPr>
            <w:tcW w:w="13922"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责任清单</w:t>
            </w:r>
          </w:p>
        </w:tc>
        <w:tc>
          <w:tcPr>
            <w:tcW w:w="381"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continue"/>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p>
        </w:tc>
        <w:tc>
          <w:tcPr>
            <w:tcW w:w="308"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c>
          <w:tcPr>
            <w:tcW w:w="504"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项目名称</w:t>
            </w:r>
          </w:p>
        </w:tc>
        <w:tc>
          <w:tcPr>
            <w:tcW w:w="54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子项名称</w:t>
            </w:r>
          </w:p>
        </w:tc>
        <w:tc>
          <w:tcPr>
            <w:tcW w:w="96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实施主体</w:t>
            </w:r>
          </w:p>
        </w:tc>
        <w:tc>
          <w:tcPr>
            <w:tcW w:w="100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承办的</w:t>
            </w:r>
          </w:p>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内设机构</w:t>
            </w:r>
          </w:p>
        </w:tc>
        <w:tc>
          <w:tcPr>
            <w:tcW w:w="350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实施依据</w:t>
            </w:r>
          </w:p>
        </w:tc>
        <w:tc>
          <w:tcPr>
            <w:tcW w:w="1871"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w:t>
            </w:r>
          </w:p>
          <w:p>
            <w:pPr>
              <w:shd w:val="clear"/>
              <w:adjustRightInd w:val="0"/>
              <w:snapToGrid w:val="0"/>
              <w:spacing w:line="300" w:lineRule="exact"/>
              <w:jc w:val="center"/>
              <w:rPr>
                <w:rFonts w:ascii="方正黑体_GBK" w:hAnsi="黑体" w:eastAsia="方正黑体_GBK" w:cs="方正黑体_GBK"/>
                <w:color w:val="auto"/>
                <w:kern w:val="0"/>
                <w:sz w:val="20"/>
                <w:szCs w:val="20"/>
                <w:highlight w:val="none"/>
              </w:rPr>
            </w:pPr>
            <w:r>
              <w:rPr>
                <w:rFonts w:ascii="方正黑体_GBK" w:hAnsi="黑体" w:eastAsia="方正黑体_GBK" w:cs="方正黑体_GBK"/>
                <w:color w:val="auto"/>
                <w:kern w:val="0"/>
                <w:sz w:val="20"/>
                <w:szCs w:val="20"/>
                <w:highlight w:val="none"/>
              </w:rPr>
              <w:t>(</w:t>
            </w:r>
            <w:r>
              <w:rPr>
                <w:rFonts w:hint="eastAsia" w:ascii="方正黑体_GBK" w:hAnsi="黑体" w:eastAsia="方正黑体_GBK" w:cs="方正黑体_GBK"/>
                <w:color w:val="auto"/>
                <w:kern w:val="0"/>
                <w:sz w:val="20"/>
                <w:szCs w:val="20"/>
                <w:highlight w:val="none"/>
              </w:rPr>
              <w:t>明确责任主体</w:t>
            </w:r>
            <w:r>
              <w:rPr>
                <w:rFonts w:ascii="方正黑体_GBK" w:hAnsi="黑体" w:eastAsia="方正黑体_GBK" w:cs="方正黑体_GBK"/>
                <w:color w:val="auto"/>
                <w:kern w:val="0"/>
                <w:sz w:val="20"/>
                <w:szCs w:val="20"/>
                <w:highlight w:val="none"/>
              </w:rPr>
              <w:t>)</w:t>
            </w:r>
          </w:p>
        </w:tc>
        <w:tc>
          <w:tcPr>
            <w:tcW w:w="565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责任事项依据</w:t>
            </w:r>
          </w:p>
        </w:tc>
        <w:tc>
          <w:tcPr>
            <w:tcW w:w="203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追责情形（明确内部追责主体）</w:t>
            </w:r>
          </w:p>
        </w:tc>
        <w:tc>
          <w:tcPr>
            <w:tcW w:w="382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追责依据</w:t>
            </w:r>
          </w:p>
        </w:tc>
        <w:tc>
          <w:tcPr>
            <w:tcW w:w="532"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免责事项</w:t>
            </w:r>
          </w:p>
        </w:tc>
        <w:tc>
          <w:tcPr>
            <w:tcW w:w="381"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adjustRightInd w:val="0"/>
              <w:snapToGrid w:val="0"/>
              <w:spacing w:line="300" w:lineRule="exact"/>
              <w:jc w:val="center"/>
              <w:rPr>
                <w:rFonts w:hint="default"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lang w:val="en-US" w:eastAsia="zh-CN" w:bidi="ar-SA"/>
              </w:rPr>
              <w:t>1</w:t>
            </w:r>
          </w:p>
        </w:tc>
        <w:tc>
          <w:tcPr>
            <w:tcW w:w="308" w:type="dxa"/>
            <w:vAlign w:val="center"/>
          </w:tcPr>
          <w:p>
            <w:pPr>
              <w:adjustRightInd w:val="0"/>
              <w:snapToGrid w:val="0"/>
              <w:spacing w:line="300" w:lineRule="exact"/>
              <w:jc w:val="center"/>
              <w:rPr>
                <w:rFonts w:hint="eastAsia" w:ascii="仿宋_GB2312" w:hAnsi="宋体" w:eastAsia="仿宋_GB2312" w:cs="宋体"/>
                <w:kern w:val="0"/>
                <w:sz w:val="20"/>
                <w:szCs w:val="20"/>
                <w:lang w:val="en-US" w:eastAsia="zh-CN" w:bidi="ar-SA"/>
              </w:rPr>
            </w:pPr>
            <w:r>
              <w:rPr>
                <w:rFonts w:hint="eastAsia" w:ascii="仿宋_GB2312" w:hAnsi="仿宋_GB2312" w:eastAsia="仿宋_GB2312" w:cs="仿宋_GB2312"/>
                <w:snapToGrid w:val="0"/>
                <w:sz w:val="20"/>
                <w:szCs w:val="20"/>
              </w:rPr>
              <w:t>行政许可</w:t>
            </w:r>
          </w:p>
        </w:tc>
        <w:tc>
          <w:tcPr>
            <w:tcW w:w="504" w:type="dxa"/>
            <w:vAlign w:val="center"/>
          </w:tcPr>
          <w:p>
            <w:pPr>
              <w:widowControl/>
              <w:adjustRightInd w:val="0"/>
              <w:snapToGrid w:val="0"/>
              <w:spacing w:line="300" w:lineRule="exact"/>
              <w:rPr>
                <w:rFonts w:hint="eastAsia" w:ascii="仿宋_GB2312" w:hAnsi="Times New Roman" w:eastAsia="仿宋_GB2312" w:cs="仿宋_GB2312"/>
                <w:snapToGrid w:val="0"/>
                <w:kern w:val="2"/>
                <w:sz w:val="20"/>
                <w:szCs w:val="20"/>
                <w:lang w:val="en-US" w:eastAsia="zh-CN" w:bidi="ar-SA"/>
              </w:rPr>
            </w:pPr>
            <w:r>
              <w:rPr>
                <w:rFonts w:hint="eastAsia" w:ascii="仿宋_GB2312" w:hAnsi="仿宋_GB2312" w:eastAsia="仿宋_GB2312" w:cs="仿宋_GB2312"/>
                <w:snapToGrid w:val="0"/>
                <w:sz w:val="20"/>
                <w:szCs w:val="20"/>
              </w:rPr>
              <w:t>适龄儿童、少年因身体状况需要延缓入学或者休学审批</w:t>
            </w:r>
          </w:p>
        </w:tc>
        <w:tc>
          <w:tcPr>
            <w:tcW w:w="546" w:type="dxa"/>
            <w:vAlign w:val="center"/>
          </w:tcPr>
          <w:p>
            <w:pPr>
              <w:adjustRightInd w:val="0"/>
              <w:snapToGrid w:val="0"/>
              <w:spacing w:line="300" w:lineRule="exact"/>
              <w:jc w:val="center"/>
              <w:rPr>
                <w:rFonts w:hint="eastAsia" w:ascii="仿宋_GB2312" w:hAnsi="宋体" w:eastAsia="仿宋_GB2312" w:cs="宋体"/>
                <w:kern w:val="0"/>
                <w:sz w:val="20"/>
                <w:szCs w:val="20"/>
                <w:lang w:val="en-US" w:eastAsia="zh-CN" w:bidi="ar-SA"/>
              </w:rPr>
            </w:pPr>
          </w:p>
        </w:tc>
        <w:tc>
          <w:tcPr>
            <w:tcW w:w="966" w:type="dxa"/>
            <w:vAlign w:val="center"/>
          </w:tcPr>
          <w:p>
            <w:pPr>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napToGrid w:val="0"/>
                <w:sz w:val="20"/>
                <w:szCs w:val="20"/>
                <w:lang w:eastAsia="zh-CN"/>
              </w:rPr>
              <w:t>兴安县界首镇人民政府</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eastAsia="zh-CN"/>
              </w:rPr>
              <w:t>社会事务办公室</w:t>
            </w:r>
          </w:p>
        </w:tc>
        <w:tc>
          <w:tcPr>
            <w:tcW w:w="3505"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871"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）：建立行政许可档案，加强监督检查。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napToGrid w:val="0"/>
                <w:sz w:val="20"/>
                <w:szCs w:val="20"/>
              </w:rPr>
              <w:t>6.其他法律法规规章文件规定应承担的责任。（有关部门）</w:t>
            </w:r>
          </w:p>
        </w:tc>
        <w:tc>
          <w:tcPr>
            <w:tcW w:w="565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napToGrid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2035" w:type="dxa"/>
            <w:vAlign w:val="center"/>
          </w:tcPr>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因不履行或不正确履行行政职责，有下列情形的，行政机关及相关工作人员应承担相应责任：</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1.对符合审批条件的申请不予受理、或者不在法定期限内作出准予行政许可决定的。</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2.对不符合审批条件的申请准予受理、准予行政许可或超越法定职权作出准予行政许可决定的。</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3.不履行或不正确履行行政权力，造成严重后果的。</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4.在审批过程中失职渎职，玩忽职守、滥用职权，为他人谋取不正当利益的。</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5.腐败行为的。</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6.除以上追责情形外，其他违反法律法规规章的行为依法追究相应责任。</w:t>
            </w:r>
          </w:p>
          <w:p>
            <w:pPr>
              <w:adjustRightInd w:val="0"/>
              <w:snapToGrid w:val="0"/>
              <w:spacing w:line="300" w:lineRule="exact"/>
              <w:ind w:firstLine="400" w:firstLineChars="200"/>
              <w:textAlignment w:val="center"/>
              <w:rPr>
                <w:rFonts w:hint="eastAsia" w:ascii="仿宋_GB2312" w:hAnsi="仿宋_GB2312" w:eastAsia="仿宋_GB2312" w:cs="仿宋_GB2312"/>
                <w:kern w:val="0"/>
                <w:sz w:val="20"/>
                <w:szCs w:val="20"/>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3.同2.</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4.同2。</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5-1.【法律】《中华人民共和国行政许可法》第七十三条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ind w:firstLine="400" w:firstLineChars="200"/>
              <w:textAlignment w:val="center"/>
              <w:rPr>
                <w:rStyle w:val="16"/>
                <w:rFonts w:hint="eastAsia" w:ascii="仿宋_GB2312" w:hAnsi="仿宋_GB2312" w:eastAsia="仿宋_GB2312" w:cs="仿宋_GB2312"/>
                <w:color w:val="auto"/>
                <w:szCs w:val="20"/>
              </w:rPr>
            </w:pPr>
            <w:r>
              <w:rPr>
                <w:rStyle w:val="16"/>
                <w:rFonts w:hint="eastAsia" w:ascii="仿宋_GB2312" w:hAnsi="仿宋_GB2312" w:eastAsia="仿宋_GB2312" w:cs="仿宋_GB2312"/>
                <w:color w:val="auto"/>
                <w:szCs w:val="20"/>
              </w:rPr>
              <w:t>5-2.【地方性法规】《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pPr>
              <w:adjustRightInd w:val="0"/>
              <w:snapToGrid w:val="0"/>
              <w:spacing w:line="300" w:lineRule="exact"/>
              <w:ind w:firstLine="400" w:firstLineChars="200"/>
              <w:textAlignment w:val="center"/>
              <w:rPr>
                <w:rFonts w:hint="eastAsia" w:ascii="仿宋_GB2312" w:hAnsi="仿宋_GB2312" w:eastAsia="仿宋_GB2312" w:cs="仿宋_GB2312"/>
                <w:kern w:val="0"/>
                <w:sz w:val="20"/>
                <w:szCs w:val="20"/>
                <w:lang w:val="en-US" w:eastAsia="zh-CN" w:bidi="ar-SA"/>
              </w:rPr>
            </w:pPr>
            <w:r>
              <w:rPr>
                <w:rStyle w:val="16"/>
                <w:rFonts w:hint="eastAsia" w:ascii="仿宋_GB2312" w:hAnsi="仿宋_GB2312" w:eastAsia="仿宋_GB2312" w:cs="仿宋_GB2312"/>
                <w:color w:val="auto"/>
                <w:szCs w:val="20"/>
              </w:rPr>
              <w:t>5-3.【行政法规】《行政机关公务员处分条例》（2007年国务院令第495号公布）第二十三条有贪污、索贿、受贿、行贿、介绍贿赂、挪用公款。</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adjustRightInd w:val="0"/>
              <w:snapToGrid w:val="0"/>
              <w:spacing w:line="300" w:lineRule="exact"/>
              <w:jc w:val="center"/>
              <w:rPr>
                <w:rFonts w:hint="eastAsia" w:ascii="仿宋_GB2312" w:hAnsi="宋体" w:eastAsia="仿宋_GB2312"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adjustRightInd w:val="0"/>
              <w:snapToGrid w:val="0"/>
              <w:spacing w:line="300" w:lineRule="exact"/>
              <w:jc w:val="center"/>
              <w:rPr>
                <w:rFonts w:hint="eastAsia" w:ascii="仿宋_GB2312" w:hAnsi="宋体" w:eastAsia="仿宋_GB2312" w:cs="宋体"/>
                <w:kern w:val="0"/>
                <w:sz w:val="20"/>
                <w:szCs w:val="20"/>
                <w:highlight w:val="none"/>
                <w:lang w:val="en-US" w:eastAsia="zh-CN" w:bidi="ar-SA"/>
              </w:rPr>
            </w:pPr>
            <w:r>
              <w:rPr>
                <w:rFonts w:hint="eastAsia" w:ascii="仿宋_GB2312" w:hAnsi="宋体" w:eastAsia="仿宋_GB2312" w:cs="宋体"/>
                <w:kern w:val="0"/>
                <w:sz w:val="20"/>
                <w:szCs w:val="20"/>
                <w:highlight w:val="none"/>
                <w:lang w:val="en-US" w:eastAsia="zh-CN"/>
              </w:rPr>
              <w:t>2</w:t>
            </w:r>
          </w:p>
        </w:tc>
        <w:tc>
          <w:tcPr>
            <w:tcW w:w="308" w:type="dxa"/>
            <w:vAlign w:val="center"/>
          </w:tcPr>
          <w:p>
            <w:pPr>
              <w:widowControl/>
              <w:adjustRightInd w:val="0"/>
              <w:snapToGrid w:val="0"/>
              <w:spacing w:line="299" w:lineRule="exact"/>
              <w:jc w:val="center"/>
              <w:rPr>
                <w:rFonts w:hint="eastAsia" w:ascii="仿宋_GB2312" w:hAnsi="Times New Roman" w:eastAsia="仿宋_GB2312" w:cs="宋体"/>
                <w:snapToGrid w:val="0"/>
                <w:kern w:val="2"/>
                <w:sz w:val="20"/>
                <w:szCs w:val="20"/>
                <w:highlight w:val="none"/>
                <w:lang w:val="en-US" w:eastAsia="zh-CN" w:bidi="ar-SA"/>
              </w:rPr>
            </w:pPr>
            <w:r>
              <w:rPr>
                <w:rFonts w:hint="eastAsia" w:ascii="仿宋_GB2312" w:hAnsi="宋体" w:eastAsia="仿宋_GB2312" w:cs="宋体"/>
                <w:kern w:val="0"/>
                <w:sz w:val="20"/>
                <w:szCs w:val="20"/>
                <w:highlight w:val="none"/>
              </w:rPr>
              <w:t>行政许可</w:t>
            </w:r>
          </w:p>
        </w:tc>
        <w:tc>
          <w:tcPr>
            <w:tcW w:w="504" w:type="dxa"/>
            <w:vAlign w:val="center"/>
          </w:tcPr>
          <w:p>
            <w:pPr>
              <w:widowControl/>
              <w:adjustRightInd w:val="0"/>
              <w:snapToGrid w:val="0"/>
              <w:spacing w:line="299" w:lineRule="exact"/>
              <w:rPr>
                <w:rFonts w:hint="eastAsia" w:ascii="仿宋_GB2312" w:hAnsi="Times New Roman" w:eastAsia="仿宋_GB2312" w:cs="宋体"/>
                <w:snapToGrid w:val="0"/>
                <w:kern w:val="2"/>
                <w:sz w:val="20"/>
                <w:szCs w:val="20"/>
                <w:highlight w:val="none"/>
                <w:lang w:val="en-US" w:eastAsia="zh-CN" w:bidi="ar-SA"/>
              </w:rPr>
            </w:pPr>
            <w:r>
              <w:rPr>
                <w:rFonts w:hint="default" w:ascii="仿宋_GB2312" w:eastAsia="仿宋_GB2312"/>
                <w:snapToGrid w:val="0"/>
                <w:sz w:val="20"/>
                <w:szCs w:val="20"/>
                <w:highlight w:val="none"/>
                <w:lang w:val="en-US" w:eastAsia="zh-CN"/>
              </w:rPr>
              <w:t>在村庄、集镇规划区内公共场所修建临时建筑等设施审批</w:t>
            </w:r>
          </w:p>
        </w:tc>
        <w:tc>
          <w:tcPr>
            <w:tcW w:w="546" w:type="dxa"/>
            <w:vAlign w:val="center"/>
          </w:tcPr>
          <w:p>
            <w:pPr>
              <w:adjustRightInd w:val="0"/>
              <w:snapToGrid w:val="0"/>
              <w:spacing w:line="300" w:lineRule="exact"/>
              <w:jc w:val="center"/>
              <w:rPr>
                <w:rFonts w:hint="eastAsia" w:ascii="仿宋_GB2312" w:hAnsi="宋体" w:eastAsia="仿宋_GB2312" w:cs="宋体"/>
                <w:kern w:val="0"/>
                <w:sz w:val="20"/>
                <w:szCs w:val="20"/>
                <w:highlight w:val="none"/>
                <w:lang w:val="en-US" w:eastAsia="zh-CN" w:bidi="ar-SA"/>
              </w:rPr>
            </w:pPr>
          </w:p>
        </w:tc>
        <w:tc>
          <w:tcPr>
            <w:tcW w:w="966" w:type="dxa"/>
            <w:vAlign w:val="center"/>
          </w:tcPr>
          <w:p>
            <w:pPr>
              <w:widowControl/>
              <w:adjustRightInd w:val="0"/>
              <w:snapToGrid w:val="0"/>
              <w:spacing w:line="299" w:lineRule="exact"/>
              <w:rPr>
                <w:rFonts w:hint="eastAsia" w:ascii="仿宋_GB2312" w:hAnsi="Times New Roman" w:eastAsia="仿宋_GB2312" w:cs="Times New Roman"/>
                <w:snapToGrid w:val="0"/>
                <w:kern w:val="2"/>
                <w:sz w:val="20"/>
                <w:szCs w:val="20"/>
                <w:highlight w:val="none"/>
                <w:lang w:val="en-US" w:eastAsia="zh-CN" w:bidi="ar-SA"/>
              </w:rPr>
            </w:pPr>
            <w:r>
              <w:rPr>
                <w:rFonts w:hint="eastAsia" w:ascii="仿宋_GB2312" w:eastAsia="仿宋_GB2312"/>
                <w:snapToGrid w:val="0"/>
                <w:sz w:val="20"/>
                <w:szCs w:val="20"/>
                <w:highlight w:val="none"/>
                <w:lang w:eastAsia="zh-CN"/>
              </w:rPr>
              <w:t>界首镇人民政府</w:t>
            </w:r>
          </w:p>
        </w:tc>
        <w:tc>
          <w:tcPr>
            <w:tcW w:w="1008" w:type="dxa"/>
            <w:vAlign w:val="center"/>
          </w:tcPr>
          <w:p>
            <w:pPr>
              <w:widowControl/>
              <w:adjustRightInd w:val="0"/>
              <w:snapToGrid w:val="0"/>
              <w:spacing w:line="299" w:lineRule="exact"/>
              <w:rPr>
                <w:rFonts w:hint="eastAsia" w:ascii="仿宋_GB2312" w:hAnsi="Times New Roman" w:eastAsia="仿宋_GB2312" w:cs="Times New Roman"/>
                <w:b/>
                <w:bCs/>
                <w:snapToGrid w:val="0"/>
                <w:kern w:val="2"/>
                <w:sz w:val="20"/>
                <w:szCs w:val="20"/>
                <w:highlight w:val="none"/>
                <w:lang w:val="en-US" w:eastAsia="zh-CN" w:bidi="ar-SA"/>
              </w:rPr>
            </w:pPr>
            <w:r>
              <w:rPr>
                <w:rFonts w:hint="eastAsia" w:ascii="仿宋_GB2312" w:hAnsi="宋体" w:eastAsia="仿宋_GB2312" w:cs="宋体"/>
                <w:kern w:val="0"/>
                <w:sz w:val="20"/>
                <w:szCs w:val="20"/>
                <w:highlight w:val="none"/>
                <w:lang w:eastAsia="zh-CN"/>
              </w:rPr>
              <w:t>界首镇</w:t>
            </w:r>
            <w:r>
              <w:rPr>
                <w:rFonts w:hint="eastAsia" w:ascii="仿宋_GB2312" w:hAnsi="宋体" w:eastAsia="仿宋_GB2312" w:cs="宋体"/>
                <w:kern w:val="0"/>
                <w:sz w:val="20"/>
                <w:szCs w:val="20"/>
                <w:highlight w:val="none"/>
              </w:rPr>
              <w:t>乡村建设综合服务中心</w:t>
            </w:r>
          </w:p>
        </w:tc>
        <w:tc>
          <w:tcPr>
            <w:tcW w:w="3505" w:type="dxa"/>
            <w:vAlign w:val="center"/>
          </w:tcPr>
          <w:p>
            <w:pPr>
              <w:widowControl/>
              <w:adjustRightInd w:val="0"/>
              <w:snapToGrid w:val="0"/>
              <w:spacing w:line="280" w:lineRule="exact"/>
              <w:ind w:firstLine="400" w:firstLineChars="200"/>
              <w:rPr>
                <w:rFonts w:hint="eastAsia" w:ascii="宋体" w:hAnsi="宋体" w:eastAsia="宋体" w:cs="宋体"/>
                <w:i w:val="0"/>
                <w:color w:val="000000"/>
                <w:kern w:val="0"/>
                <w:sz w:val="18"/>
                <w:szCs w:val="18"/>
                <w:highlight w:val="none"/>
                <w:u w:val="none"/>
                <w:lang w:val="en-US" w:eastAsia="zh-CN" w:bidi="ar"/>
              </w:rPr>
            </w:pPr>
            <w:r>
              <w:rPr>
                <w:rFonts w:hint="default" w:ascii="仿宋_GB2312" w:hAnsi="宋体" w:eastAsia="仿宋_GB2312" w:cs="宋体"/>
                <w:kern w:val="0"/>
                <w:sz w:val="20"/>
                <w:szCs w:val="20"/>
                <w:highlight w:val="none"/>
                <w:lang w:val="en-US" w:eastAsia="zh-CN"/>
              </w:rPr>
              <w:t>【法规】《村庄和集镇规划建设管理条例》(国务院令第116号)第三十二条</w:t>
            </w:r>
            <w:r>
              <w:rPr>
                <w:rFonts w:hint="eastAsia" w:ascii="仿宋_GB2312" w:hAnsi="宋体" w:eastAsia="仿宋_GB2312" w:cs="宋体"/>
                <w:kern w:val="0"/>
                <w:sz w:val="20"/>
                <w:szCs w:val="20"/>
                <w:highlight w:val="none"/>
                <w:lang w:val="en-US" w:eastAsia="zh-CN"/>
              </w:rPr>
              <w:t>：</w:t>
            </w:r>
            <w:r>
              <w:rPr>
                <w:rFonts w:hint="default" w:ascii="仿宋_GB2312" w:hAnsi="宋体" w:eastAsia="仿宋_GB2312" w:cs="宋体"/>
                <w:kern w:val="0"/>
                <w:sz w:val="20"/>
                <w:szCs w:val="20"/>
                <w:highlight w:val="none"/>
                <w:lang w:val="en-US" w:eastAsia="zh-CN"/>
              </w:rPr>
              <w:t>未经乡级人民政府批准，任何单位和个人不得擅自在村庄、集镇规划区内的街道、广场、市场和车站等场所修建临时建筑物、构筑物和其他设施。</w:t>
            </w:r>
          </w:p>
        </w:tc>
        <w:tc>
          <w:tcPr>
            <w:tcW w:w="1871" w:type="dxa"/>
            <w:vAlign w:val="center"/>
          </w:tcPr>
          <w:p>
            <w:pPr>
              <w:widowControl/>
              <w:adjustRightInd w:val="0"/>
              <w:snapToGrid w:val="0"/>
              <w:spacing w:line="299" w:lineRule="exact"/>
              <w:ind w:firstLine="400" w:firstLineChars="200"/>
              <w:rPr>
                <w:rStyle w:val="16"/>
                <w:rFonts w:hint="eastAsia" w:ascii="仿宋_GB2312" w:eastAsia="仿宋_GB2312" w:cs="宋体"/>
                <w:color w:val="auto"/>
                <w:szCs w:val="20"/>
                <w:highlight w:val="none"/>
              </w:rPr>
            </w:pPr>
            <w:r>
              <w:rPr>
                <w:rStyle w:val="16"/>
                <w:rFonts w:hint="eastAsia" w:ascii="仿宋_GB2312" w:eastAsia="仿宋_GB2312" w:cs="宋体"/>
                <w:color w:val="auto"/>
                <w:szCs w:val="20"/>
                <w:highlight w:val="none"/>
              </w:rPr>
              <w:t>1.受理责任</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乡村建设综合服务中心</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:公示应当提交的材料，一次性告知补正材料，依法受理或不予受理（不予受理应当告知理由）</w:t>
            </w:r>
          </w:p>
          <w:p>
            <w:pPr>
              <w:widowControl/>
              <w:adjustRightInd w:val="0"/>
              <w:snapToGrid w:val="0"/>
              <w:spacing w:line="299" w:lineRule="exact"/>
              <w:ind w:firstLine="400" w:firstLineChars="200"/>
              <w:rPr>
                <w:rStyle w:val="16"/>
                <w:rFonts w:hint="eastAsia" w:ascii="仿宋_GB2312" w:eastAsia="仿宋_GB2312" w:cs="宋体"/>
                <w:color w:val="auto"/>
                <w:szCs w:val="20"/>
                <w:highlight w:val="none"/>
                <w:lang w:eastAsia="zh-CN"/>
              </w:rPr>
            </w:pPr>
            <w:r>
              <w:rPr>
                <w:rStyle w:val="16"/>
                <w:rFonts w:hint="eastAsia" w:ascii="仿宋_GB2312" w:eastAsia="仿宋_GB2312" w:cs="宋体"/>
                <w:color w:val="auto"/>
                <w:szCs w:val="20"/>
                <w:highlight w:val="none"/>
              </w:rPr>
              <w:t>2.审查责任</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乡村建设综合服务中心</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:对申请人提交的申请材料进行审查</w:t>
            </w:r>
            <w:r>
              <w:rPr>
                <w:rStyle w:val="16"/>
                <w:rFonts w:hint="eastAsia" w:ascii="仿宋_GB2312" w:eastAsia="仿宋_GB2312" w:cs="宋体"/>
                <w:color w:val="auto"/>
                <w:szCs w:val="20"/>
                <w:highlight w:val="none"/>
                <w:lang w:eastAsia="zh-CN"/>
              </w:rPr>
              <w:t>，提出审查意见。</w:t>
            </w:r>
          </w:p>
          <w:p>
            <w:pPr>
              <w:widowControl/>
              <w:adjustRightInd w:val="0"/>
              <w:snapToGrid w:val="0"/>
              <w:spacing w:line="299" w:lineRule="exact"/>
              <w:ind w:firstLine="400" w:firstLineChars="200"/>
              <w:rPr>
                <w:rStyle w:val="16"/>
                <w:rFonts w:hint="eastAsia" w:ascii="仿宋_GB2312" w:eastAsia="仿宋_GB2312" w:cs="宋体"/>
                <w:color w:val="auto"/>
                <w:szCs w:val="20"/>
                <w:highlight w:val="none"/>
              </w:rPr>
            </w:pPr>
            <w:r>
              <w:rPr>
                <w:rStyle w:val="16"/>
                <w:rFonts w:hint="eastAsia" w:ascii="仿宋_GB2312" w:eastAsia="仿宋_GB2312" w:cs="宋体"/>
                <w:color w:val="auto"/>
                <w:szCs w:val="20"/>
                <w:highlight w:val="none"/>
              </w:rPr>
              <w:t>3.决定责任</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乡村建设综合服务中心</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:作出行政许可或者不予行政许可决定，法定告知（不予许可的应当书面告知理由）。</w:t>
            </w:r>
          </w:p>
          <w:p>
            <w:pPr>
              <w:widowControl/>
              <w:adjustRightInd w:val="0"/>
              <w:snapToGrid w:val="0"/>
              <w:spacing w:line="299" w:lineRule="exact"/>
              <w:ind w:firstLine="400" w:firstLineChars="200"/>
              <w:rPr>
                <w:rStyle w:val="16"/>
                <w:rFonts w:hint="eastAsia" w:ascii="仿宋_GB2312" w:eastAsia="仿宋_GB2312" w:cs="宋体"/>
                <w:color w:val="auto"/>
                <w:szCs w:val="20"/>
                <w:highlight w:val="none"/>
              </w:rPr>
            </w:pPr>
            <w:r>
              <w:rPr>
                <w:rStyle w:val="16"/>
                <w:rFonts w:hint="eastAsia" w:ascii="仿宋_GB2312" w:eastAsia="仿宋_GB2312" w:cs="宋体"/>
                <w:color w:val="auto"/>
                <w:szCs w:val="20"/>
                <w:highlight w:val="none"/>
              </w:rPr>
              <w:t>4.送达责任</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乡村建设综合服务中心</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:制发送达许可证书；信息公开。</w:t>
            </w:r>
          </w:p>
          <w:p>
            <w:pPr>
              <w:widowControl/>
              <w:adjustRightInd w:val="0"/>
              <w:snapToGrid w:val="0"/>
              <w:spacing w:line="299" w:lineRule="exact"/>
              <w:ind w:firstLine="400" w:firstLineChars="200"/>
              <w:rPr>
                <w:rStyle w:val="16"/>
                <w:rFonts w:hint="eastAsia" w:ascii="仿宋_GB2312" w:eastAsia="仿宋_GB2312" w:cs="宋体"/>
                <w:color w:val="auto"/>
                <w:szCs w:val="20"/>
                <w:highlight w:val="none"/>
              </w:rPr>
            </w:pPr>
            <w:r>
              <w:rPr>
                <w:rStyle w:val="16"/>
                <w:rFonts w:hint="eastAsia" w:ascii="仿宋_GB2312" w:eastAsia="仿宋_GB2312" w:cs="宋体"/>
                <w:color w:val="auto"/>
                <w:szCs w:val="20"/>
                <w:highlight w:val="none"/>
              </w:rPr>
              <w:t>5.事后监管责任</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乡村建设综合服务中心</w:t>
            </w:r>
            <w:r>
              <w:rPr>
                <w:rStyle w:val="16"/>
                <w:rFonts w:hint="eastAsia" w:ascii="仿宋_GB2312" w:eastAsia="仿宋_GB2312" w:cs="宋体"/>
                <w:color w:val="auto"/>
                <w:szCs w:val="20"/>
                <w:highlight w:val="none"/>
                <w:lang w:eastAsia="zh-CN"/>
              </w:rPr>
              <w:t>）</w:t>
            </w:r>
            <w:r>
              <w:rPr>
                <w:rStyle w:val="16"/>
                <w:rFonts w:hint="eastAsia" w:ascii="仿宋_GB2312" w:eastAsia="仿宋_GB2312" w:cs="宋体"/>
                <w:color w:val="auto"/>
                <w:szCs w:val="20"/>
                <w:highlight w:val="none"/>
              </w:rPr>
              <w:t>:建立实施监督检查的运行机制和管理制度，开展定期和不定期检查，依法采取相关处置措施。</w:t>
            </w:r>
          </w:p>
          <w:p>
            <w:pPr>
              <w:widowControl/>
              <w:adjustRightInd w:val="0"/>
              <w:snapToGrid w:val="0"/>
              <w:spacing w:line="299" w:lineRule="exact"/>
              <w:ind w:firstLine="400" w:firstLineChars="200"/>
              <w:rPr>
                <w:rFonts w:hint="eastAsia" w:ascii="仿宋_GB2312" w:hAnsi="宋体" w:eastAsia="仿宋_GB2312" w:cs="宋体"/>
                <w:kern w:val="0"/>
                <w:sz w:val="20"/>
                <w:szCs w:val="20"/>
                <w:highlight w:val="none"/>
                <w:lang w:val="en-US" w:eastAsia="zh-CN" w:bidi="ar-SA"/>
              </w:rPr>
            </w:pPr>
            <w:r>
              <w:rPr>
                <w:rStyle w:val="16"/>
                <w:rFonts w:hint="eastAsia" w:ascii="仿宋_GB2312" w:eastAsia="仿宋_GB2312" w:cs="宋体"/>
                <w:color w:val="auto"/>
                <w:szCs w:val="20"/>
                <w:highlight w:val="none"/>
              </w:rPr>
              <w:t>6.其他法律法规规章文件规定应履行的责任。（乡村建设综合服务中心）</w:t>
            </w:r>
          </w:p>
        </w:tc>
        <w:tc>
          <w:tcPr>
            <w:tcW w:w="5658" w:type="dxa"/>
            <w:vAlign w:val="center"/>
          </w:tcPr>
          <w:p>
            <w:pPr>
              <w:adjustRightInd w:val="0"/>
              <w:snapToGrid w:val="0"/>
              <w:spacing w:line="300" w:lineRule="exact"/>
              <w:ind w:firstLine="400" w:firstLineChars="200"/>
              <w:rPr>
                <w:rFonts w:ascii="仿宋_GB2312" w:hAnsi="宋体" w:eastAsia="仿宋_GB2312" w:cs="宋体"/>
                <w:kern w:val="0"/>
                <w:sz w:val="20"/>
                <w:szCs w:val="20"/>
                <w:highlight w:val="none"/>
              </w:rPr>
            </w:pPr>
            <w:r>
              <w:rPr>
                <w:rFonts w:ascii="仿宋_GB2312" w:hAnsi="宋体" w:eastAsia="仿宋_GB2312" w:cs="宋体"/>
                <w:kern w:val="0"/>
                <w:sz w:val="20"/>
                <w:szCs w:val="20"/>
                <w:highlight w:val="none"/>
              </w:rPr>
              <w:t>1.</w:t>
            </w:r>
            <w:r>
              <w:rPr>
                <w:rFonts w:hint="eastAsia" w:ascii="仿宋_GB2312" w:hAnsi="宋体" w:eastAsia="仿宋_GB2312" w:cs="宋体"/>
                <w:kern w:val="0"/>
                <w:sz w:val="20"/>
                <w:szCs w:val="20"/>
                <w:highlight w:val="none"/>
              </w:rPr>
              <w:t>【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300" w:lineRule="exact"/>
              <w:ind w:firstLine="400" w:firstLineChars="200"/>
              <w:rPr>
                <w:rFonts w:ascii="仿宋_GB2312" w:hAnsi="宋体" w:eastAsia="仿宋_GB2312" w:cs="宋体"/>
                <w:kern w:val="0"/>
                <w:sz w:val="20"/>
                <w:szCs w:val="20"/>
                <w:highlight w:val="none"/>
              </w:rPr>
            </w:pPr>
            <w:r>
              <w:rPr>
                <w:rFonts w:ascii="仿宋_GB2312" w:hAnsi="宋体" w:eastAsia="仿宋_GB2312" w:cs="宋体"/>
                <w:kern w:val="0"/>
                <w:sz w:val="20"/>
                <w:szCs w:val="20"/>
                <w:highlight w:val="none"/>
              </w:rPr>
              <w:t>2—1.</w:t>
            </w:r>
            <w:r>
              <w:rPr>
                <w:rFonts w:hint="eastAsia" w:ascii="仿宋_GB2312" w:hAnsi="宋体" w:eastAsia="仿宋_GB2312" w:cs="宋体"/>
                <w:kern w:val="0"/>
                <w:sz w:val="20"/>
                <w:szCs w:val="20"/>
                <w:highlight w:val="none"/>
              </w:rPr>
              <w:t>【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rPr>
                <w:rFonts w:ascii="仿宋_GB2312" w:hAnsi="宋体" w:eastAsia="仿宋_GB2312" w:cs="宋体"/>
                <w:kern w:val="0"/>
                <w:sz w:val="20"/>
                <w:szCs w:val="20"/>
                <w:highlight w:val="none"/>
              </w:rPr>
            </w:pPr>
            <w:r>
              <w:rPr>
                <w:rFonts w:ascii="仿宋_GB2312" w:hAnsi="宋体" w:eastAsia="仿宋_GB2312" w:cs="宋体"/>
                <w:kern w:val="0"/>
                <w:sz w:val="20"/>
                <w:szCs w:val="20"/>
                <w:highlight w:val="none"/>
              </w:rPr>
              <w:t>2—2.</w:t>
            </w:r>
            <w:r>
              <w:rPr>
                <w:rFonts w:hint="eastAsia" w:ascii="仿宋_GB2312" w:hAnsi="宋体" w:eastAsia="仿宋_GB2312" w:cs="宋体"/>
                <w:kern w:val="0"/>
                <w:sz w:val="20"/>
                <w:szCs w:val="20"/>
                <w:highlight w:val="none"/>
              </w:rPr>
              <w:t>【法律】《中华人民共和国行政许可法》第四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300" w:lineRule="exact"/>
              <w:ind w:firstLine="400" w:firstLineChars="200"/>
              <w:rPr>
                <w:rFonts w:ascii="仿宋_GB2312" w:hAnsi="宋体" w:eastAsia="仿宋_GB2312" w:cs="宋体"/>
                <w:kern w:val="0"/>
                <w:sz w:val="20"/>
                <w:szCs w:val="20"/>
                <w:highlight w:val="none"/>
              </w:rPr>
            </w:pPr>
            <w:r>
              <w:rPr>
                <w:rFonts w:ascii="仿宋_GB2312" w:hAnsi="宋体" w:eastAsia="仿宋_GB2312" w:cs="宋体"/>
                <w:kern w:val="0"/>
                <w:sz w:val="20"/>
                <w:szCs w:val="20"/>
                <w:highlight w:val="none"/>
              </w:rPr>
              <w:t>3.</w:t>
            </w:r>
            <w:r>
              <w:rPr>
                <w:rFonts w:hint="eastAsia" w:ascii="仿宋_GB2312" w:hAnsi="宋体" w:eastAsia="仿宋_GB2312" w:cs="宋体"/>
                <w:kern w:val="0"/>
                <w:sz w:val="20"/>
                <w:szCs w:val="20"/>
                <w:highlight w:val="none"/>
              </w:rPr>
              <w:t>【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300" w:lineRule="exact"/>
              <w:ind w:firstLine="400" w:firstLineChars="200"/>
              <w:rPr>
                <w:rFonts w:ascii="仿宋_GB2312" w:hAnsi="宋体" w:eastAsia="仿宋_GB2312" w:cs="宋体"/>
                <w:kern w:val="0"/>
                <w:sz w:val="20"/>
                <w:szCs w:val="20"/>
                <w:highlight w:val="none"/>
              </w:rPr>
            </w:pPr>
            <w:r>
              <w:rPr>
                <w:rFonts w:ascii="仿宋_GB2312" w:hAnsi="宋体" w:eastAsia="仿宋_GB2312" w:cs="宋体"/>
                <w:kern w:val="0"/>
                <w:sz w:val="20"/>
                <w:szCs w:val="20"/>
                <w:highlight w:val="none"/>
              </w:rPr>
              <w:t>4.</w:t>
            </w:r>
            <w:r>
              <w:rPr>
                <w:rFonts w:hint="eastAsia" w:ascii="仿宋_GB2312" w:hAnsi="宋体" w:eastAsia="仿宋_GB2312" w:cs="宋体"/>
                <w:kern w:val="0"/>
                <w:sz w:val="20"/>
                <w:szCs w:val="20"/>
                <w:highlight w:val="none"/>
              </w:rPr>
              <w:t>【法律】《中华人民共和国行政许可法》第四十四条：行政机关作出准予行政许可的决定，应当自作出决定之日起十日内向申请人颁发、送达行政许可证件，或者加贴标签、加盖检验、检测、检疫印章。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299" w:lineRule="exact"/>
              <w:ind w:firstLine="400" w:firstLineChars="200"/>
              <w:rPr>
                <w:rFonts w:hint="eastAsia" w:ascii="仿宋_GB2312" w:hAnsi="Times New Roman" w:eastAsia="仿宋_GB2312" w:cs="Times New Roman"/>
                <w:snapToGrid w:val="0"/>
                <w:kern w:val="2"/>
                <w:sz w:val="20"/>
                <w:szCs w:val="20"/>
                <w:highlight w:val="none"/>
                <w:lang w:val="en-US" w:eastAsia="zh-CN" w:bidi="ar-SA"/>
              </w:rPr>
            </w:pPr>
            <w:r>
              <w:rPr>
                <w:rFonts w:ascii="仿宋_GB2312" w:hAnsi="宋体" w:eastAsia="仿宋_GB2312" w:cs="宋体"/>
                <w:kern w:val="0"/>
                <w:sz w:val="20"/>
                <w:szCs w:val="20"/>
                <w:highlight w:val="none"/>
              </w:rPr>
              <w:t>5.</w:t>
            </w:r>
            <w:r>
              <w:rPr>
                <w:rFonts w:hint="eastAsia" w:ascii="仿宋_GB2312" w:hAnsi="宋体" w:eastAsia="仿宋_GB2312" w:cs="宋体"/>
                <w:kern w:val="0"/>
                <w:sz w:val="20"/>
                <w:szCs w:val="20"/>
                <w:highlight w:val="none"/>
              </w:rPr>
              <w:t>【法律】《中华人民共和国行政许可法》第六十一条：行政机关应当建立健全监督制度，通过核查反映被许可人从事行政许可事项活动情况的有关材料，履行监督责任。</w:t>
            </w:r>
          </w:p>
        </w:tc>
        <w:tc>
          <w:tcPr>
            <w:tcW w:w="2035" w:type="dxa"/>
            <w:vAlign w:val="center"/>
          </w:tcPr>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hint="eastAsia" w:ascii="仿宋_GB2312" w:eastAsia="仿宋_GB2312" w:cs="宋体"/>
                <w:color w:val="auto"/>
                <w:szCs w:val="20"/>
                <w:highlight w:val="none"/>
              </w:rPr>
              <w:t>因不履行或不正确履行行政职责，有下列情形的，行政机关及相关工作人员应承担相应责任：</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1.</w:t>
            </w:r>
            <w:r>
              <w:rPr>
                <w:rStyle w:val="16"/>
                <w:rFonts w:hint="eastAsia" w:ascii="仿宋_GB2312" w:eastAsia="仿宋_GB2312" w:cs="宋体"/>
                <w:color w:val="auto"/>
                <w:szCs w:val="20"/>
                <w:highlight w:val="none"/>
              </w:rPr>
              <w:t>对符合审批条件的申请不予受理、或者不在法定期限内作出准予行政许可决定的。（</w:t>
            </w:r>
            <w:r>
              <w:rPr>
                <w:rStyle w:val="16"/>
                <w:rFonts w:hint="eastAsia" w:ascii="仿宋_GB2312" w:eastAsia="仿宋_GB2312" w:cs="宋体"/>
                <w:color w:val="auto"/>
                <w:szCs w:val="20"/>
                <w:highlight w:val="none"/>
                <w:lang w:eastAsia="zh-CN"/>
              </w:rPr>
              <w:t>镇纪委</w:t>
            </w:r>
            <w:r>
              <w:rPr>
                <w:rStyle w:val="16"/>
                <w:rFonts w:hint="eastAsia" w:ascii="仿宋_GB2312" w:eastAsia="仿宋_GB2312" w:cs="宋体"/>
                <w:color w:val="auto"/>
                <w:szCs w:val="20"/>
                <w:highlight w:val="none"/>
              </w:rPr>
              <w:t>）</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2.</w:t>
            </w:r>
            <w:r>
              <w:rPr>
                <w:rStyle w:val="16"/>
                <w:rFonts w:hint="eastAsia" w:ascii="仿宋_GB2312" w:eastAsia="仿宋_GB2312" w:cs="宋体"/>
                <w:color w:val="auto"/>
                <w:szCs w:val="20"/>
                <w:highlight w:val="none"/>
              </w:rPr>
              <w:t>对不符合审批条件的申请准予受理、准予行政许可或超越法定职权作出准予行政许可决定的。（</w:t>
            </w:r>
            <w:r>
              <w:rPr>
                <w:rStyle w:val="16"/>
                <w:rFonts w:hint="eastAsia" w:ascii="仿宋_GB2312" w:hAnsi="Times New Roman" w:eastAsia="仿宋_GB2312" w:cs="宋体"/>
                <w:color w:val="auto"/>
                <w:szCs w:val="20"/>
                <w:highlight w:val="none"/>
              </w:rPr>
              <w:t>镇</w:t>
            </w:r>
            <w:r>
              <w:rPr>
                <w:rStyle w:val="16"/>
                <w:rFonts w:hint="eastAsia" w:ascii="仿宋_GB2312" w:eastAsia="仿宋_GB2312" w:cs="宋体"/>
                <w:color w:val="auto"/>
                <w:szCs w:val="20"/>
                <w:highlight w:val="none"/>
              </w:rPr>
              <w:t>纪委）</w:t>
            </w:r>
          </w:p>
          <w:p>
            <w:pPr>
              <w:adjustRightInd w:val="0"/>
              <w:snapToGrid w:val="0"/>
              <w:spacing w:line="300" w:lineRule="exact"/>
              <w:ind w:firstLine="400" w:firstLineChars="200"/>
              <w:textAlignment w:val="center"/>
              <w:rPr>
                <w:rStyle w:val="16"/>
                <w:rFonts w:ascii="仿宋_GB2312" w:eastAsia="仿宋_GB2312" w:cs="宋体"/>
                <w:color w:val="auto"/>
                <w:szCs w:val="20"/>
                <w:highlight w:val="none"/>
              </w:rPr>
            </w:pPr>
            <w:r>
              <w:rPr>
                <w:rStyle w:val="16"/>
                <w:rFonts w:ascii="仿宋_GB2312" w:hAnsi="Times New Roman" w:eastAsia="仿宋_GB2312" w:cs="宋体"/>
                <w:color w:val="auto"/>
                <w:szCs w:val="20"/>
                <w:highlight w:val="none"/>
              </w:rPr>
              <w:t>3.</w:t>
            </w:r>
            <w:r>
              <w:rPr>
                <w:rStyle w:val="16"/>
                <w:rFonts w:hint="eastAsia" w:ascii="仿宋_GB2312" w:eastAsia="仿宋_GB2312" w:cs="宋体"/>
                <w:color w:val="auto"/>
                <w:szCs w:val="20"/>
                <w:highlight w:val="none"/>
              </w:rPr>
              <w:t>不履行或不正确履行行政权力，造成严重后果的。（</w:t>
            </w:r>
            <w:r>
              <w:rPr>
                <w:rStyle w:val="16"/>
                <w:rFonts w:hint="eastAsia" w:ascii="仿宋_GB2312" w:hAnsi="Times New Roman" w:eastAsia="仿宋_GB2312" w:cs="宋体"/>
                <w:color w:val="auto"/>
                <w:szCs w:val="20"/>
                <w:highlight w:val="none"/>
              </w:rPr>
              <w:t>镇</w:t>
            </w:r>
            <w:r>
              <w:rPr>
                <w:rStyle w:val="16"/>
                <w:rFonts w:hint="eastAsia" w:ascii="仿宋_GB2312" w:eastAsia="仿宋_GB2312" w:cs="宋体"/>
                <w:color w:val="auto"/>
                <w:szCs w:val="20"/>
                <w:highlight w:val="none"/>
              </w:rPr>
              <w:t>纪委）</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4.</w:t>
            </w:r>
            <w:r>
              <w:rPr>
                <w:rFonts w:hint="eastAsia" w:ascii="仿宋_GB2312" w:hAnsi="宋体" w:eastAsia="仿宋_GB2312" w:cs="宋体"/>
                <w:kern w:val="0"/>
                <w:sz w:val="20"/>
                <w:szCs w:val="20"/>
                <w:highlight w:val="none"/>
              </w:rPr>
              <w:t>在审批过程中徇私舞弊、滥用职权、玩忽职守的</w:t>
            </w:r>
            <w:r>
              <w:rPr>
                <w:rFonts w:hint="eastAsia" w:ascii="仿宋_GB2312" w:hAnsi="宋体" w:eastAsia="仿宋_GB2312" w:cs="宋体"/>
                <w:kern w:val="0"/>
                <w:sz w:val="20"/>
                <w:szCs w:val="20"/>
                <w:highlight w:val="none"/>
                <w:lang w:eastAsia="zh-CN"/>
              </w:rPr>
              <w:t>。</w:t>
            </w:r>
            <w:r>
              <w:rPr>
                <w:rStyle w:val="16"/>
                <w:rFonts w:hint="eastAsia" w:ascii="仿宋_GB2312" w:eastAsia="仿宋_GB2312" w:cs="宋体"/>
                <w:color w:val="auto"/>
                <w:szCs w:val="20"/>
                <w:highlight w:val="none"/>
              </w:rPr>
              <w:t>（</w:t>
            </w:r>
            <w:r>
              <w:rPr>
                <w:rStyle w:val="16"/>
                <w:rFonts w:hint="eastAsia" w:ascii="仿宋_GB2312" w:hAnsi="Times New Roman" w:eastAsia="仿宋_GB2312" w:cs="宋体"/>
                <w:color w:val="auto"/>
                <w:szCs w:val="20"/>
                <w:highlight w:val="none"/>
              </w:rPr>
              <w:t>镇</w:t>
            </w:r>
            <w:r>
              <w:rPr>
                <w:rStyle w:val="16"/>
                <w:rFonts w:hint="eastAsia" w:ascii="仿宋_GB2312" w:eastAsia="仿宋_GB2312" w:cs="宋体"/>
                <w:color w:val="auto"/>
                <w:szCs w:val="20"/>
                <w:highlight w:val="none"/>
              </w:rPr>
              <w:t>纪委）</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Fonts w:hint="eastAsia" w:ascii="仿宋_GB2312" w:hAnsi="宋体" w:eastAsia="仿宋_GB2312" w:cs="宋体"/>
                <w:kern w:val="0"/>
                <w:sz w:val="20"/>
                <w:szCs w:val="20"/>
                <w:highlight w:val="none"/>
                <w:lang w:val="en-US" w:eastAsia="zh-CN"/>
              </w:rPr>
              <w:t>5</w:t>
            </w:r>
            <w:r>
              <w:rPr>
                <w:rFonts w:ascii="仿宋_GB2312" w:hAnsi="宋体" w:eastAsia="仿宋_GB2312" w:cs="宋体"/>
                <w:kern w:val="0"/>
                <w:sz w:val="20"/>
                <w:szCs w:val="20"/>
                <w:highlight w:val="none"/>
              </w:rPr>
              <w:t>.</w:t>
            </w:r>
            <w:r>
              <w:rPr>
                <w:rFonts w:hint="eastAsia" w:ascii="仿宋_GB2312" w:hAnsi="宋体" w:eastAsia="仿宋_GB2312" w:cs="宋体"/>
                <w:kern w:val="0"/>
                <w:sz w:val="20"/>
                <w:szCs w:val="20"/>
                <w:highlight w:val="none"/>
              </w:rPr>
              <w:t>利用职务上的便利，索取他人财物，为他人谋取利益的</w:t>
            </w:r>
            <w:r>
              <w:rPr>
                <w:rFonts w:hint="eastAsia" w:ascii="仿宋_GB2312" w:hAnsi="宋体" w:eastAsia="仿宋_GB2312" w:cs="宋体"/>
                <w:kern w:val="0"/>
                <w:sz w:val="20"/>
                <w:szCs w:val="20"/>
                <w:highlight w:val="none"/>
                <w:lang w:eastAsia="zh-CN"/>
              </w:rPr>
              <w:t>。</w:t>
            </w:r>
            <w:r>
              <w:rPr>
                <w:rFonts w:hint="eastAsia" w:ascii="仿宋_GB2312" w:hAnsi="宋体" w:eastAsia="仿宋_GB2312" w:cs="宋体"/>
                <w:kern w:val="0"/>
                <w:sz w:val="20"/>
                <w:szCs w:val="20"/>
                <w:highlight w:val="none"/>
              </w:rPr>
              <w:t>（镇纪委</w:t>
            </w:r>
            <w:r>
              <w:rPr>
                <w:rStyle w:val="16"/>
                <w:rFonts w:hint="eastAsia" w:ascii="仿宋_GB2312" w:eastAsia="仿宋_GB2312" w:cs="宋体"/>
                <w:color w:val="auto"/>
                <w:szCs w:val="20"/>
                <w:highlight w:val="none"/>
              </w:rPr>
              <w:t>）</w:t>
            </w:r>
          </w:p>
          <w:p>
            <w:pPr>
              <w:widowControl/>
              <w:adjustRightInd w:val="0"/>
              <w:snapToGrid w:val="0"/>
              <w:spacing w:line="299" w:lineRule="exact"/>
              <w:ind w:firstLine="400" w:firstLineChars="200"/>
              <w:rPr>
                <w:rFonts w:hint="eastAsia" w:ascii="仿宋_GB2312" w:hAnsi="Times New Roman" w:eastAsia="仿宋_GB2312" w:cs="Times New Roman"/>
                <w:snapToGrid w:val="0"/>
                <w:kern w:val="2"/>
                <w:sz w:val="20"/>
                <w:szCs w:val="20"/>
                <w:highlight w:val="none"/>
                <w:lang w:val="en-US" w:eastAsia="zh-CN" w:bidi="ar-SA"/>
              </w:rPr>
            </w:pPr>
            <w:r>
              <w:rPr>
                <w:rStyle w:val="16"/>
                <w:rFonts w:ascii="仿宋_GB2312" w:hAnsi="Times New Roman" w:eastAsia="仿宋_GB2312" w:cs="宋体"/>
                <w:color w:val="auto"/>
                <w:szCs w:val="20"/>
                <w:highlight w:val="none"/>
              </w:rPr>
              <w:t>6.</w:t>
            </w:r>
            <w:r>
              <w:rPr>
                <w:rStyle w:val="16"/>
                <w:rFonts w:hint="eastAsia" w:ascii="仿宋_GB2312" w:eastAsia="仿宋_GB2312" w:cs="宋体"/>
                <w:color w:val="auto"/>
                <w:szCs w:val="20"/>
                <w:highlight w:val="none"/>
              </w:rPr>
              <w:t>除以上追责情形外，其他违反法律法规规章的行为依法追究相应责任。（</w:t>
            </w:r>
            <w:r>
              <w:rPr>
                <w:rStyle w:val="16"/>
                <w:rFonts w:hint="eastAsia" w:ascii="仿宋_GB2312" w:hAnsi="Times New Roman" w:eastAsia="仿宋_GB2312" w:cs="宋体"/>
                <w:color w:val="auto"/>
                <w:szCs w:val="20"/>
                <w:highlight w:val="none"/>
              </w:rPr>
              <w:t>镇</w:t>
            </w:r>
            <w:r>
              <w:rPr>
                <w:rStyle w:val="16"/>
                <w:rFonts w:hint="eastAsia" w:ascii="仿宋_GB2312" w:eastAsia="仿宋_GB2312" w:cs="宋体"/>
                <w:color w:val="auto"/>
                <w:szCs w:val="20"/>
                <w:highlight w:val="none"/>
              </w:rPr>
              <w:t>纪委）</w:t>
            </w:r>
          </w:p>
        </w:tc>
        <w:tc>
          <w:tcPr>
            <w:tcW w:w="3826" w:type="dxa"/>
            <w:vAlign w:val="center"/>
          </w:tcPr>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1.</w:t>
            </w:r>
            <w:r>
              <w:rPr>
                <w:rStyle w:val="16"/>
                <w:rFonts w:hint="eastAsia" w:ascii="仿宋_GB2312" w:eastAsia="仿宋_GB2312" w:cs="宋体"/>
                <w:color w:val="auto"/>
                <w:szCs w:val="20"/>
                <w:highlight w:val="none"/>
              </w:rPr>
              <w:t>【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2.</w:t>
            </w:r>
            <w:r>
              <w:rPr>
                <w:rStyle w:val="16"/>
                <w:rFonts w:hint="eastAsia" w:ascii="仿宋_GB2312" w:eastAsia="仿宋_GB2312" w:cs="宋体"/>
                <w:color w:val="auto"/>
                <w:szCs w:val="20"/>
                <w:highlight w:val="none"/>
              </w:rPr>
              <w:t>【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3.</w:t>
            </w:r>
            <w:r>
              <w:rPr>
                <w:rStyle w:val="16"/>
                <w:rFonts w:hint="eastAsia" w:ascii="仿宋_GB2312" w:eastAsia="仿宋_GB2312" w:cs="宋体"/>
                <w:color w:val="auto"/>
                <w:szCs w:val="20"/>
                <w:highlight w:val="none"/>
              </w:rPr>
              <w:t>同</w:t>
            </w:r>
            <w:r>
              <w:rPr>
                <w:rStyle w:val="16"/>
                <w:rFonts w:ascii="仿宋_GB2312" w:hAnsi="Times New Roman" w:eastAsia="仿宋_GB2312" w:cs="宋体"/>
                <w:color w:val="auto"/>
                <w:szCs w:val="20"/>
                <w:highlight w:val="none"/>
              </w:rPr>
              <w:t>2.</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4.</w:t>
            </w:r>
            <w:r>
              <w:rPr>
                <w:rStyle w:val="16"/>
                <w:rFonts w:hint="eastAsia" w:ascii="仿宋_GB2312" w:eastAsia="仿宋_GB2312" w:cs="宋体"/>
                <w:color w:val="auto"/>
                <w:szCs w:val="20"/>
                <w:highlight w:val="none"/>
              </w:rPr>
              <w:t>同</w:t>
            </w:r>
            <w:r>
              <w:rPr>
                <w:rStyle w:val="16"/>
                <w:rFonts w:ascii="仿宋_GB2312" w:hAnsi="Times New Roman" w:eastAsia="仿宋_GB2312" w:cs="宋体"/>
                <w:color w:val="auto"/>
                <w:szCs w:val="20"/>
                <w:highlight w:val="none"/>
              </w:rPr>
              <w:t>2</w:t>
            </w:r>
            <w:r>
              <w:rPr>
                <w:rStyle w:val="16"/>
                <w:rFonts w:hint="eastAsia" w:ascii="仿宋_GB2312" w:eastAsia="仿宋_GB2312" w:cs="宋体"/>
                <w:color w:val="auto"/>
                <w:szCs w:val="20"/>
                <w:highlight w:val="none"/>
              </w:rPr>
              <w:t>。</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5-1.</w:t>
            </w:r>
            <w:r>
              <w:rPr>
                <w:rStyle w:val="16"/>
                <w:rFonts w:hint="eastAsia" w:ascii="仿宋_GB2312" w:eastAsia="仿宋_GB2312" w:cs="宋体"/>
                <w:color w:val="auto"/>
                <w:szCs w:val="20"/>
                <w:highlight w:val="none"/>
              </w:rPr>
              <w:t>【法律】《中华人民共和国行政许可法》第七十三条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ind w:firstLine="400" w:firstLineChars="200"/>
              <w:textAlignment w:val="center"/>
              <w:rPr>
                <w:rStyle w:val="16"/>
                <w:rFonts w:ascii="仿宋_GB2312" w:hAnsi="Times New Roman" w:eastAsia="仿宋_GB2312" w:cs="宋体"/>
                <w:color w:val="auto"/>
                <w:szCs w:val="20"/>
                <w:highlight w:val="none"/>
              </w:rPr>
            </w:pPr>
            <w:r>
              <w:rPr>
                <w:rStyle w:val="16"/>
                <w:rFonts w:ascii="仿宋_GB2312" w:hAnsi="Times New Roman" w:eastAsia="仿宋_GB2312" w:cs="宋体"/>
                <w:color w:val="auto"/>
                <w:szCs w:val="20"/>
                <w:highlight w:val="none"/>
              </w:rPr>
              <w:t>5-2.</w:t>
            </w:r>
            <w:r>
              <w:rPr>
                <w:rStyle w:val="16"/>
                <w:rFonts w:hint="eastAsia" w:ascii="仿宋_GB2312" w:eastAsia="仿宋_GB2312" w:cs="宋体"/>
                <w:color w:val="auto"/>
                <w:szCs w:val="20"/>
                <w:highlight w:val="none"/>
              </w:rPr>
              <w:t>【地方性法规】《广西壮族自治区行政执法责任制实施办法》（</w:t>
            </w:r>
            <w:r>
              <w:rPr>
                <w:rStyle w:val="16"/>
                <w:rFonts w:ascii="仿宋_GB2312" w:hAnsi="Times New Roman" w:eastAsia="仿宋_GB2312" w:cs="宋体"/>
                <w:color w:val="auto"/>
                <w:szCs w:val="20"/>
                <w:highlight w:val="none"/>
              </w:rPr>
              <w:t>2001</w:t>
            </w:r>
            <w:r>
              <w:rPr>
                <w:rStyle w:val="16"/>
                <w:rFonts w:hint="eastAsia" w:ascii="仿宋_GB2312" w:eastAsia="仿宋_GB2312" w:cs="宋体"/>
                <w:color w:val="auto"/>
                <w:szCs w:val="20"/>
                <w:highlight w:val="none"/>
              </w:rPr>
              <w:t>年</w:t>
            </w:r>
            <w:r>
              <w:rPr>
                <w:rStyle w:val="16"/>
                <w:rFonts w:ascii="仿宋_GB2312" w:hAnsi="Times New Roman" w:eastAsia="仿宋_GB2312" w:cs="宋体"/>
                <w:color w:val="auto"/>
                <w:szCs w:val="20"/>
                <w:highlight w:val="none"/>
              </w:rPr>
              <w:t>1</w:t>
            </w:r>
            <w:r>
              <w:rPr>
                <w:rStyle w:val="16"/>
                <w:rFonts w:hint="eastAsia" w:ascii="仿宋_GB2312" w:eastAsia="仿宋_GB2312" w:cs="宋体"/>
                <w:color w:val="auto"/>
                <w:szCs w:val="20"/>
                <w:highlight w:val="none"/>
              </w:rPr>
              <w:t>月</w:t>
            </w:r>
            <w:r>
              <w:rPr>
                <w:rStyle w:val="16"/>
                <w:rFonts w:ascii="仿宋_GB2312" w:hAnsi="Times New Roman" w:eastAsia="仿宋_GB2312" w:cs="宋体"/>
                <w:color w:val="auto"/>
                <w:szCs w:val="20"/>
                <w:highlight w:val="none"/>
              </w:rPr>
              <w:t>9</w:t>
            </w:r>
            <w:r>
              <w:rPr>
                <w:rStyle w:val="16"/>
                <w:rFonts w:hint="eastAsia" w:ascii="仿宋_GB2312" w:eastAsia="仿宋_GB2312" w:cs="宋体"/>
                <w:color w:val="auto"/>
                <w:szCs w:val="20"/>
                <w:highlight w:val="none"/>
              </w:rPr>
              <w:t>日自治区人民政府第</w:t>
            </w:r>
            <w:r>
              <w:rPr>
                <w:rStyle w:val="16"/>
                <w:rFonts w:ascii="仿宋_GB2312" w:hAnsi="Times New Roman" w:eastAsia="仿宋_GB2312" w:cs="宋体"/>
                <w:color w:val="auto"/>
                <w:szCs w:val="20"/>
                <w:highlight w:val="none"/>
              </w:rPr>
              <w:t>26</w:t>
            </w:r>
            <w:r>
              <w:rPr>
                <w:rStyle w:val="16"/>
                <w:rFonts w:hint="eastAsia" w:ascii="仿宋_GB2312" w:eastAsia="仿宋_GB2312" w:cs="宋体"/>
                <w:color w:val="auto"/>
                <w:szCs w:val="20"/>
                <w:highlight w:val="none"/>
              </w:rPr>
              <w:t>次常务会议审议通过）第三十四条责任人在行政执法过程中，徇私舞弊、贪赃枉法、收受贿赂以及因其他违法行为构成犯罪的，由司法机关依法追究刑事责任。</w:t>
            </w:r>
          </w:p>
          <w:p>
            <w:pPr>
              <w:widowControl/>
              <w:adjustRightInd w:val="0"/>
              <w:snapToGrid w:val="0"/>
              <w:spacing w:line="299" w:lineRule="exact"/>
              <w:ind w:firstLine="400" w:firstLineChars="200"/>
              <w:rPr>
                <w:rFonts w:hint="eastAsia" w:ascii="仿宋_GB2312" w:hAnsi="Times New Roman" w:eastAsia="仿宋_GB2312" w:cs="Times New Roman"/>
                <w:snapToGrid w:val="0"/>
                <w:kern w:val="2"/>
                <w:sz w:val="20"/>
                <w:szCs w:val="20"/>
                <w:highlight w:val="none"/>
                <w:lang w:val="en-US" w:eastAsia="zh-CN" w:bidi="ar-SA"/>
              </w:rPr>
            </w:pPr>
            <w:r>
              <w:rPr>
                <w:rStyle w:val="16"/>
                <w:rFonts w:ascii="仿宋_GB2312" w:hAnsi="Times New Roman" w:eastAsia="仿宋_GB2312" w:cs="宋体"/>
                <w:color w:val="auto"/>
                <w:szCs w:val="20"/>
                <w:highlight w:val="none"/>
              </w:rPr>
              <w:t>5-3.</w:t>
            </w:r>
            <w:r>
              <w:rPr>
                <w:rStyle w:val="16"/>
                <w:rFonts w:hint="eastAsia" w:ascii="仿宋_GB2312" w:eastAsia="仿宋_GB2312" w:cs="宋体"/>
                <w:color w:val="auto"/>
                <w:szCs w:val="20"/>
                <w:highlight w:val="none"/>
              </w:rPr>
              <w:t>【行政法规】《行政机关公务员处分条例》（</w:t>
            </w:r>
            <w:r>
              <w:rPr>
                <w:rStyle w:val="16"/>
                <w:rFonts w:ascii="仿宋_GB2312" w:hAnsi="Times New Roman" w:eastAsia="仿宋_GB2312" w:cs="宋体"/>
                <w:color w:val="auto"/>
                <w:szCs w:val="20"/>
                <w:highlight w:val="none"/>
              </w:rPr>
              <w:t>2007</w:t>
            </w:r>
            <w:r>
              <w:rPr>
                <w:rStyle w:val="16"/>
                <w:rFonts w:hint="eastAsia" w:ascii="仿宋_GB2312" w:eastAsia="仿宋_GB2312" w:cs="宋体"/>
                <w:color w:val="auto"/>
                <w:szCs w:val="20"/>
                <w:highlight w:val="none"/>
              </w:rPr>
              <w:t>年国务院令第</w:t>
            </w:r>
            <w:r>
              <w:rPr>
                <w:rStyle w:val="16"/>
                <w:rFonts w:ascii="仿宋_GB2312" w:hAnsi="Times New Roman" w:eastAsia="仿宋_GB2312" w:cs="宋体"/>
                <w:color w:val="auto"/>
                <w:szCs w:val="20"/>
                <w:highlight w:val="none"/>
              </w:rPr>
              <w:t>495</w:t>
            </w:r>
            <w:r>
              <w:rPr>
                <w:rStyle w:val="16"/>
                <w:rFonts w:hint="eastAsia" w:ascii="仿宋_GB2312" w:eastAsia="仿宋_GB2312" w:cs="宋体"/>
                <w:color w:val="auto"/>
                <w:szCs w:val="20"/>
                <w:highlight w:val="none"/>
              </w:rPr>
              <w:t>号公布）第二十三条有贪污、索贿、受贿、行贿、介绍贿赂、挪用公款。</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法律法规规定的免责情形及有关文件中明确的免责情形</w:t>
            </w:r>
          </w:p>
        </w:tc>
        <w:tc>
          <w:tcPr>
            <w:tcW w:w="381" w:type="dxa"/>
            <w:vAlign w:val="center"/>
          </w:tcPr>
          <w:p>
            <w:pPr>
              <w:adjustRightInd w:val="0"/>
              <w:snapToGrid w:val="0"/>
              <w:spacing w:line="300" w:lineRule="exact"/>
              <w:jc w:val="center"/>
              <w:rPr>
                <w:rFonts w:hint="eastAsia" w:ascii="仿宋_GB2312" w:hAnsi="宋体" w:eastAsia="仿宋_GB2312" w:cs="宋体"/>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eastAsia" w:eastAsia="仿宋_GB2312" w:cs="Times New Roman"/>
                <w:color w:val="auto"/>
                <w:kern w:val="2"/>
                <w:sz w:val="20"/>
                <w:szCs w:val="20"/>
                <w:highlight w:val="none"/>
                <w:lang w:val="en-US" w:eastAsia="zh-CN" w:bidi="ar-SA"/>
              </w:rPr>
              <w:t>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农村村民宅基地审批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兴安县界首镇经济发展办公室</w:t>
            </w:r>
          </w:p>
        </w:tc>
        <w:tc>
          <w:tcPr>
            <w:tcW w:w="3505"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【法律】《中华人民共和国土地管理法》第六十二条：农村村民一户只能拥有一处宅基地，其宅基地的面积不得超过省、自治区、直辖市规定</w:t>
            </w:r>
            <w:r>
              <w:rPr>
                <w:rFonts w:hint="default" w:ascii="Times New Roman" w:hAnsi="Times New Roman" w:eastAsia="仿宋_GB2312"/>
                <w:color w:val="auto"/>
                <w:kern w:val="0"/>
                <w:sz w:val="20"/>
                <w:szCs w:val="20"/>
                <w:highlight w:val="none"/>
              </w:rPr>
              <w:t>的标准。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人均土地少、不能保障一户拥有一处宅基地的地区，县级人民政府在充分尊重农村村民意愿的基础上，可以采取措施，按照省、自治区、直辖市规定的标准保障农村村民实现</w:t>
            </w:r>
            <w:r>
              <w:rPr>
                <w:rFonts w:hint="eastAsia" w:ascii="Times New Roman" w:hAnsi="Times New Roman" w:eastAsia="仿宋_GB2312"/>
                <w:color w:val="auto"/>
                <w:kern w:val="0"/>
                <w:sz w:val="20"/>
                <w:szCs w:val="20"/>
                <w:highlight w:val="none"/>
              </w:rPr>
              <w:t>户</w:t>
            </w:r>
            <w:r>
              <w:rPr>
                <w:rFonts w:hint="default" w:ascii="Times New Roman" w:hAnsi="Times New Roman" w:eastAsia="仿宋_GB2312"/>
                <w:color w:val="auto"/>
                <w:kern w:val="0"/>
                <w:sz w:val="20"/>
                <w:szCs w:val="20"/>
                <w:highlight w:val="none"/>
              </w:rPr>
              <w:t>有所居。</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Fonts w:hint="eastAsia" w:ascii="Times New Roman" w:hAnsi="Times New Roman" w:eastAsia="仿宋_GB2312"/>
                <w:color w:val="auto"/>
                <w:kern w:val="0"/>
                <w:sz w:val="20"/>
                <w:szCs w:val="20"/>
                <w:highlight w:val="none"/>
              </w:rPr>
              <w:t>境</w:t>
            </w:r>
            <w:r>
              <w:rPr>
                <w:rFonts w:hint="default" w:ascii="Times New Roman" w:hAnsi="Times New Roman" w:eastAsia="仿宋_GB2312"/>
                <w:color w:val="auto"/>
                <w:kern w:val="0"/>
                <w:sz w:val="20"/>
                <w:szCs w:val="20"/>
                <w:highlight w:val="none"/>
              </w:rPr>
              <w:t>和条件。</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农村村民住宅用地，由乡（镇）人民政府审核批准；其中，涉及占用农用地的，依照本法第四十四条的规定办理</w:t>
            </w:r>
            <w:r>
              <w:rPr>
                <w:rFonts w:hint="eastAsia" w:ascii="Times New Roman" w:hAnsi="Times New Roman" w:eastAsia="仿宋_GB2312"/>
                <w:color w:val="auto"/>
                <w:kern w:val="0"/>
                <w:sz w:val="20"/>
                <w:szCs w:val="20"/>
                <w:highlight w:val="none"/>
              </w:rPr>
              <w:t>审</w:t>
            </w:r>
            <w:r>
              <w:rPr>
                <w:rFonts w:hint="default" w:ascii="Times New Roman" w:hAnsi="Times New Roman" w:eastAsia="仿宋_GB2312"/>
                <w:color w:val="auto"/>
                <w:kern w:val="0"/>
                <w:sz w:val="20"/>
                <w:szCs w:val="20"/>
                <w:highlight w:val="none"/>
              </w:rPr>
              <w:t>批手续。</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农村村民出卖、出租、赠与住宅后，再申请宅基地的，</w:t>
            </w:r>
            <w:r>
              <w:rPr>
                <w:rFonts w:hint="eastAsia" w:ascii="Times New Roman" w:hAnsi="Times New Roman" w:eastAsia="仿宋_GB2312"/>
                <w:color w:val="auto"/>
                <w:kern w:val="0"/>
                <w:sz w:val="20"/>
                <w:szCs w:val="20"/>
                <w:highlight w:val="none"/>
              </w:rPr>
              <w:t>不</w:t>
            </w:r>
            <w:r>
              <w:rPr>
                <w:rFonts w:hint="default" w:ascii="Times New Roman" w:hAnsi="Times New Roman" w:eastAsia="仿宋_GB2312"/>
                <w:color w:val="auto"/>
                <w:kern w:val="0"/>
                <w:sz w:val="20"/>
                <w:szCs w:val="20"/>
                <w:highlight w:val="none"/>
              </w:rPr>
              <w:t>予批准。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国家允许进城落户的农村村民依法自愿有偿退出宅基地，鼓励农村集体经济组织及其成员盘活利用闲置宅基地和</w:t>
            </w:r>
            <w:r>
              <w:rPr>
                <w:rFonts w:hint="eastAsia" w:ascii="Times New Roman" w:hAnsi="Times New Roman" w:eastAsia="仿宋_GB2312"/>
                <w:color w:val="auto"/>
                <w:kern w:val="0"/>
                <w:sz w:val="20"/>
                <w:szCs w:val="20"/>
                <w:highlight w:val="none"/>
              </w:rPr>
              <w:t>闲</w:t>
            </w:r>
            <w:r>
              <w:rPr>
                <w:rFonts w:hint="default" w:ascii="Times New Roman" w:hAnsi="Times New Roman" w:eastAsia="仿宋_GB2312"/>
                <w:color w:val="auto"/>
                <w:kern w:val="0"/>
                <w:sz w:val="20"/>
                <w:szCs w:val="20"/>
                <w:highlight w:val="none"/>
              </w:rPr>
              <w:t>置住宅。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国务院农业农村主管部门负责全国农村宅基地改革和管理有关工作。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1.受理责任：公示应当提交的材料，一次性告知补正材料，依法受理或不予受理（不予受理应当告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2.审查责任：审查申请材料，组织</w:t>
            </w:r>
            <w:r>
              <w:rPr>
                <w:rFonts w:hint="eastAsia" w:ascii="Times New Roman" w:hAnsi="Times New Roman" w:eastAsia="仿宋_GB2312"/>
                <w:color w:val="auto"/>
                <w:kern w:val="0"/>
                <w:sz w:val="20"/>
                <w:szCs w:val="20"/>
                <w:highlight w:val="none"/>
              </w:rPr>
              <w:t>现场检查。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3.决定责任：作出行政许可或者不予行政许可决定，法定告知（不予许可的应当书面告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4.送达责任：准予许可的，制发许可证书或批件，送达并</w:t>
            </w:r>
            <w:r>
              <w:rPr>
                <w:rFonts w:hint="eastAsia" w:ascii="Times New Roman" w:hAnsi="Times New Roman" w:eastAsia="仿宋_GB2312"/>
                <w:color w:val="auto"/>
                <w:kern w:val="0"/>
                <w:sz w:val="20"/>
                <w:szCs w:val="20"/>
                <w:highlight w:val="none"/>
              </w:rPr>
              <w:t>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5.监管责任：建立实施监督检查的运行机制和管理制度，开展定期和不定期检查，依法采取相关</w:t>
            </w:r>
            <w:r>
              <w:rPr>
                <w:rFonts w:hint="eastAsia" w:ascii="Times New Roman" w:hAnsi="Times New Roman" w:eastAsia="仿宋_GB2312"/>
                <w:color w:val="auto"/>
                <w:kern w:val="0"/>
                <w:sz w:val="20"/>
                <w:szCs w:val="20"/>
                <w:highlight w:val="none"/>
              </w:rPr>
              <w:t>处置措施。</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兴安县界首镇经济发展办公室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Fonts w:hint="eastAsia" w:ascii="Times New Roman" w:hAnsi="Times New Roman" w:eastAsia="仿宋_GB2312"/>
                <w:color w:val="auto"/>
                <w:kern w:val="0"/>
                <w:sz w:val="20"/>
                <w:szCs w:val="20"/>
                <w:highlight w:val="none"/>
              </w:rPr>
              <w:t>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Fonts w:hint="eastAsia" w:ascii="Times New Roman" w:hAnsi="Times New Roman" w:eastAsia="仿宋_GB2312"/>
                <w:color w:val="auto"/>
                <w:kern w:val="0"/>
                <w:sz w:val="20"/>
                <w:szCs w:val="20"/>
                <w:highlight w:val="none"/>
              </w:rPr>
              <w:t>进行核查。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十七条：行政机关对行政许可申请进行审查后，除当场作出行政许可决定的外，应当在法定期限内按照规定程序作出行政</w:t>
            </w:r>
            <w:r>
              <w:rPr>
                <w:rFonts w:hint="eastAsia" w:ascii="Times New Roman" w:hAnsi="Times New Roman" w:eastAsia="仿宋_GB2312"/>
                <w:color w:val="auto"/>
                <w:kern w:val="0"/>
                <w:sz w:val="20"/>
                <w:szCs w:val="20"/>
                <w:highlight w:val="none"/>
              </w:rPr>
              <w:t>许可决</w:t>
            </w:r>
            <w:r>
              <w:rPr>
                <w:rFonts w:hint="default" w:ascii="Times New Roman" w:hAnsi="Times New Roman" w:eastAsia="仿宋_GB2312"/>
                <w:color w:val="auto"/>
                <w:kern w:val="0"/>
                <w:sz w:val="20"/>
                <w:szCs w:val="20"/>
                <w:highlight w:val="none"/>
              </w:rPr>
              <w:t>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Fonts w:hint="eastAsia" w:ascii="Times New Roman" w:hAnsi="Times New Roman" w:eastAsia="仿宋_GB2312"/>
                <w:color w:val="auto"/>
                <w:kern w:val="0"/>
                <w:sz w:val="20"/>
                <w:szCs w:val="20"/>
                <w:highlight w:val="none"/>
              </w:rPr>
              <w:t>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4.【法律】《中华人民共和国行政许可法》</w:t>
            </w:r>
            <w:r>
              <w:rPr>
                <w:rFonts w:hint="eastAsia" w:ascii="Times New Roman" w:hAnsi="Times New Roman" w:eastAsia="仿宋_GB2312"/>
                <w:color w:val="auto"/>
                <w:kern w:val="0"/>
                <w:sz w:val="20"/>
                <w:szCs w:val="20"/>
                <w:highlight w:val="none"/>
              </w:rPr>
              <w:t>第四</w:t>
            </w:r>
            <w:r>
              <w:rPr>
                <w:rFonts w:hint="default" w:ascii="Times New Roman" w:hAnsi="Times New Roman" w:eastAsia="仿宋_GB2312"/>
                <w:color w:val="auto"/>
                <w:kern w:val="0"/>
                <w:sz w:val="20"/>
                <w:szCs w:val="20"/>
                <w:highlight w:val="none"/>
              </w:rPr>
              <w:t>十四条：行政机关作出准予行政许可的决定，应当自作出决定之日起十日内向申请人颁发、送达行政许可证件，或者加贴标签、加盖检验、检测、</w:t>
            </w:r>
            <w:r>
              <w:rPr>
                <w:rFonts w:hint="eastAsia" w:ascii="Times New Roman" w:hAnsi="Times New Roman" w:eastAsia="仿宋_GB2312"/>
                <w:color w:val="auto"/>
                <w:kern w:val="0"/>
                <w:sz w:val="20"/>
                <w:szCs w:val="20"/>
                <w:highlight w:val="none"/>
              </w:rPr>
              <w:t>检疫印章。</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w:t>
            </w:r>
            <w:r>
              <w:rPr>
                <w:rFonts w:hint="eastAsia" w:ascii="Times New Roman" w:hAnsi="Times New Roman" w:eastAsia="仿宋_GB2312"/>
                <w:color w:val="auto"/>
                <w:kern w:val="0"/>
                <w:sz w:val="20"/>
                <w:szCs w:val="20"/>
                <w:highlight w:val="none"/>
              </w:rPr>
              <w:t>建</w:t>
            </w:r>
            <w:r>
              <w:rPr>
                <w:rFonts w:hint="default" w:ascii="Times New Roman" w:hAnsi="Times New Roman" w:eastAsia="仿宋_GB2312"/>
                <w:color w:val="auto"/>
                <w:kern w:val="0"/>
                <w:sz w:val="20"/>
                <w:szCs w:val="20"/>
                <w:highlight w:val="none"/>
              </w:rPr>
              <w:t>的房屋。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超过省、自治区、直辖市规定的标准，多占的土地以非法占用</w:t>
            </w:r>
            <w:r>
              <w:rPr>
                <w:rFonts w:hint="eastAsia" w:ascii="Times New Roman" w:hAnsi="Times New Roman" w:eastAsia="仿宋_GB2312"/>
                <w:color w:val="auto"/>
                <w:kern w:val="0"/>
                <w:sz w:val="20"/>
                <w:szCs w:val="20"/>
                <w:highlight w:val="none"/>
              </w:rPr>
              <w:t>土地论处。</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9"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乡村建设规划许可</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兴安县界首镇经济发展办公室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第三十八条：村民在乡、村庄规划区范围内进行住宅建设的，应当办理乡村建设规划许可证。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县级人民政府城乡规划主管部门可以委托乡（镇）人民政府核发乡村建设规划许可证。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在乡、村庄规划区内进行本条第一款规定的建设，应当在取得乡村建设规划许可证后，依法办理用地审批手续。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3.决定责任：作出行政许可或者不予行政许可决定,法定告知（不予许可的应当书面告知理由）。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4．送达责任：准予许可的制发送达审批决定。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兴安县界首镇经济发展办公室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3—1.【法律】《中华人民共和国行政许可法》第三十七条：行政机关对行政许可申请进行审.查后，除了当场作出行政许可决定的，应在法定期限内按照规定程序作出行政许可决定。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4—1.【法律】《中华人民共和国行政许可法》第四十条：行政机关作出的准予行政许可决定，应当予以公开，公众有权查阅。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1.对符合条件的不予受理或不予审核通过；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2.对不符合条件而通过审核的；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3.未在法定时限做出审核结论，产生不良影响的；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4.对审核中发现问题，不及时处理的；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5.工作人员滥用职权、徇私舞弊、玩忽职守的；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规范性文件】《自治区党委编办关于印发〈广西赋予乡镇（街道）部分县级管理权限清单（第一批）〉的通知》（桂编办发〔2019〕195号）“对滥伐森林或者其他林木行为的处罚”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1.立案责任：通过举报、巡查（或者下级林业部门上报及其他机关移送的违法案件等），发现涉嫌的违法行为，予以审查，决定是否立案。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2.调查取证责任：指定专人负责，及时组织调查取证，通过搜集证据、现场了解核实情况等进行调查，制作笔录。调查时应出示执法证件，执法人员不得少于二人，依法回避。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3.审查责任：审查案件调查报告，对案件违法事实、证据、调查取证程序、法律适用、处罚种类和幅度、当事人陈述和申辩理由等方面进行审查，提出处理意见。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4.告知责任：作出行政处罚决定前，应制作《行政处罚告知书》送达当事人，告知违法事实及其享有的陈述、申辩等权利。符合听证规定的，告知听证权。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5.决定责任：据案件审查情况决定是否予以行政处罚。依法给予处罚的，制作行政处罚决定书。 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6.送达责任：当场送达或在七日内依照民事诉讼法的有关规定送达。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7.执行责任：依照生效的行政处罚决定，自觉履行或强制执行。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2—2.【部门规章】《林业行政处罚程序规定》（1996年林业部令第8号）第十五条：林业行政执法人员在调查处理林业行政处罚案件时与当事人有利害关系的，应当自行回避。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部门规章】《林业行政处罚程序规定》（1996年林业部令第8号）第三十七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5—1.同3.</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5—2.【法律】《中华人民共和国行政处罚法》第三十九条：行政机关依照本法第三十八条的规定给予行政处罚，应当制作行政处罚决定书。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与《自治区党委编办关于印发〈广西赋予乡镇（街道）部分县级管理权限清单（第一批）〉的通知》（桂编办发〔2019〕195号）中的“对滥伐森林或者其他林木行为的处罚”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违反乡村清洁规定行为的处罚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【地方性法规】《广西壮族自治区乡村清洁</w:t>
            </w:r>
            <w:r>
              <w:rPr>
                <w:rFonts w:hint="eastAsia" w:ascii="Times New Roman" w:hAnsi="Times New Roman" w:eastAsia="仿宋_GB2312"/>
                <w:color w:val="auto"/>
                <w:kern w:val="0"/>
                <w:sz w:val="20"/>
                <w:szCs w:val="20"/>
                <w:highlight w:val="none"/>
              </w:rPr>
              <w:t>条例》（201</w:t>
            </w:r>
            <w:r>
              <w:rPr>
                <w:rFonts w:hint="default" w:ascii="Times New Roman" w:hAnsi="Times New Roman" w:eastAsia="仿宋_GB2312"/>
                <w:color w:val="auto"/>
                <w:kern w:val="0"/>
                <w:sz w:val="20"/>
                <w:szCs w:val="20"/>
                <w:highlight w:val="none"/>
              </w:rPr>
              <w:t>6年广西壮族自治区第十二届人民代表大</w:t>
            </w:r>
            <w:r>
              <w:rPr>
                <w:rFonts w:hint="eastAsia" w:ascii="Times New Roman" w:hAnsi="Times New Roman" w:eastAsia="仿宋_GB2312"/>
                <w:color w:val="auto"/>
                <w:kern w:val="0"/>
                <w:sz w:val="20"/>
                <w:szCs w:val="20"/>
                <w:highlight w:val="none"/>
              </w:rPr>
              <w:t>会公</w:t>
            </w:r>
            <w:r>
              <w:rPr>
                <w:rFonts w:hint="default" w:ascii="Times New Roman" w:hAnsi="Times New Roman" w:eastAsia="仿宋_GB2312"/>
                <w:color w:val="auto"/>
                <w:kern w:val="0"/>
                <w:sz w:val="20"/>
                <w:szCs w:val="20"/>
                <w:highlight w:val="none"/>
              </w:rPr>
              <w:t>告第13号</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第十二条：任何单位和个人不得侵占、损坏、擅自拆除、擅自关闭乡村卫生公厕、垃圾和污水处理等乡村清洁设施，或者擅自改变</w:t>
            </w:r>
            <w:r>
              <w:rPr>
                <w:rFonts w:hint="eastAsia" w:ascii="Times New Roman" w:hAnsi="Times New Roman" w:eastAsia="仿宋_GB2312"/>
                <w:color w:val="auto"/>
                <w:kern w:val="0"/>
                <w:sz w:val="20"/>
                <w:szCs w:val="20"/>
                <w:highlight w:val="none"/>
              </w:rPr>
              <w:t>其用途。</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Fonts w:hint="eastAsia" w:ascii="Times New Roman" w:hAnsi="Times New Roman" w:eastAsia="仿宋_GB2312"/>
                <w:color w:val="auto"/>
                <w:kern w:val="0"/>
                <w:sz w:val="20"/>
                <w:szCs w:val="20"/>
                <w:highlight w:val="none"/>
              </w:rPr>
              <w:t>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第十九</w:t>
            </w:r>
            <w:r>
              <w:rPr>
                <w:rFonts w:hint="eastAsia" w:ascii="Times New Roman" w:hAnsi="Times New Roman" w:eastAsia="仿宋_GB2312"/>
                <w:color w:val="auto"/>
                <w:kern w:val="0"/>
                <w:sz w:val="20"/>
                <w:szCs w:val="20"/>
                <w:highlight w:val="none"/>
              </w:rPr>
              <w:t>条第</w:t>
            </w:r>
            <w:r>
              <w:rPr>
                <w:rFonts w:hint="default" w:ascii="Times New Roman" w:hAnsi="Times New Roman" w:eastAsia="仿宋_GB2312"/>
                <w:color w:val="auto"/>
                <w:kern w:val="0"/>
                <w:sz w:val="20"/>
                <w:szCs w:val="20"/>
                <w:highlight w:val="none"/>
              </w:rPr>
              <w:t>三款：任何单位和个人不得在非指定地点倾倒、抛撒或者堆放建</w:t>
            </w:r>
            <w:r>
              <w:rPr>
                <w:rFonts w:hint="eastAsia" w:ascii="Times New Roman" w:hAnsi="Times New Roman" w:eastAsia="仿宋_GB2312"/>
                <w:color w:val="auto"/>
                <w:kern w:val="0"/>
                <w:sz w:val="20"/>
                <w:szCs w:val="20"/>
                <w:highlight w:val="none"/>
              </w:rPr>
              <w:t>筑垃圾。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w:t>
            </w:r>
            <w:r>
              <w:rPr>
                <w:rFonts w:hint="eastAsia" w:ascii="Times New Roman" w:hAnsi="Times New Roman" w:eastAsia="仿宋_GB2312"/>
                <w:color w:val="auto"/>
                <w:kern w:val="0"/>
                <w:sz w:val="20"/>
                <w:szCs w:val="20"/>
                <w:highlight w:val="none"/>
              </w:rPr>
              <w:t>下罚款。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对个人处五十元以上二百元</w:t>
            </w:r>
            <w:r>
              <w:rPr>
                <w:rFonts w:hint="eastAsia" w:ascii="Times New Roman" w:hAnsi="Times New Roman" w:eastAsia="仿宋_GB2312"/>
                <w:color w:val="auto"/>
                <w:kern w:val="0"/>
                <w:sz w:val="20"/>
                <w:szCs w:val="20"/>
                <w:highlight w:val="none"/>
              </w:rPr>
              <w:t>以</w:t>
            </w:r>
            <w:r>
              <w:rPr>
                <w:rFonts w:hint="default" w:ascii="Times New Roman" w:hAnsi="Times New Roman" w:eastAsia="仿宋_GB2312"/>
                <w:color w:val="auto"/>
                <w:kern w:val="0"/>
                <w:sz w:val="20"/>
                <w:szCs w:val="20"/>
                <w:highlight w:val="none"/>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Fonts w:hint="eastAsia" w:ascii="Times New Roman" w:hAnsi="Times New Roman" w:eastAsia="仿宋_GB2312"/>
                <w:color w:val="auto"/>
                <w:kern w:val="0"/>
                <w:sz w:val="20"/>
                <w:szCs w:val="20"/>
                <w:highlight w:val="none"/>
              </w:rPr>
              <w:t>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2"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对违反规定擅自占用和损坏乡村公共设施行为的处罚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【地方性法规】《广西壮族自治区乡村规划建设管理条例》（2018年广西壮族自治区第十三届人民代表大会常务委员会公告第13号）第五十条第二款：任何单位和个人不得擅自占用和损坏乡村公</w:t>
            </w:r>
            <w:r>
              <w:rPr>
                <w:rFonts w:hint="eastAsia" w:ascii="Times New Roman" w:hAnsi="Times New Roman" w:eastAsia="仿宋_GB2312"/>
                <w:color w:val="auto"/>
                <w:kern w:val="0"/>
                <w:sz w:val="20"/>
                <w:szCs w:val="20"/>
                <w:highlight w:val="none"/>
              </w:rPr>
              <w:t>共设施。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六十</w:t>
            </w:r>
            <w:r>
              <w:rPr>
                <w:rFonts w:hint="default" w:ascii="Times New Roman" w:hAnsi="Times New Roman" w:eastAsia="仿宋_GB2312"/>
                <w:color w:val="auto"/>
                <w:kern w:val="0"/>
                <w:sz w:val="20"/>
                <w:szCs w:val="20"/>
                <w:highlight w:val="none"/>
              </w:rPr>
              <w:t>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w:t>
            </w:r>
            <w:r>
              <w:rPr>
                <w:rFonts w:hint="eastAsia" w:ascii="Times New Roman" w:hAnsi="Times New Roman" w:eastAsia="仿宋_GB2312"/>
                <w:color w:val="auto"/>
                <w:kern w:val="0"/>
                <w:sz w:val="20"/>
                <w:szCs w:val="20"/>
                <w:highlight w:val="none"/>
              </w:rPr>
              <w:t>偿责任。</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w:t>
            </w:r>
            <w:r>
              <w:rPr>
                <w:rFonts w:hint="eastAsia" w:ascii="Times New Roman" w:hAnsi="Times New Roman" w:eastAsia="仿宋_GB2312"/>
                <w:color w:val="auto"/>
                <w:kern w:val="0"/>
                <w:sz w:val="20"/>
                <w:szCs w:val="20"/>
                <w:highlight w:val="none"/>
              </w:rPr>
              <w:t>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7" w:lineRule="exact"/>
              <w:jc w:val="center"/>
              <w:rPr>
                <w:rFonts w:hint="eastAsia"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政强制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恢复植被和林业生产条件、树木补种的标准，由省级以上人民政府林业主管部门制定。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中华人民共和国森林法实施条例》（2000年国务院令第278号发布，2018年国务院令第698号修订）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违反森林法和本条例规定，擅自开垦林地，致使森林、林木受到毁坏的，依照森林法第四十四条的规定予以处罚……。</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3.【规范性文件】《自治区党委编办关于印发〈广西赋予乡镇（街道）部分县级管理权限清单（第一批）〉的通知》（桂编办发〔2019〕195号） “代为补种树木”赋权至乡镇人民政府（街道办事处）实施。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1.审查催告责任：审查当事人是否逾期未履行义务；书面催告当事人履行义务的期限、方式（涉及金钱给付的，明确告知金额和给付方式）及享有的陈述权和申辩权，催告当事人履行义务。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2.决定责任：充分听取当事人提出的事实、理由和证据，进行记录和复核，无正当理由的，向本行政机关负责人报告，经批准作出代履行决定书并送达当事人。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3.代履行责任：代履行三日前，催告当事人履行，当事人履行的，停止代履行；代履行时到场监督；代履行完毕，到场监督的工作人员、代履行人和当事人或者见证人在执行文书上签名或者盖章。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4.追缴代履行费用责任：核算代履行费用，并向被履行单位追缴费用。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4.【法律】《中华人民共和国行政强制法》第五十一条第二款：代履行的费用按照成本合理确定，由当事人承担。但是，法律另有规定的除外。</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行政机关实施行政强制，有下列情形之一的，由上级行政机关或者有关部门责令改正，对直接负责的主管人员和其他直接责任人员依法给予处分：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1.没有法律、法规依据的；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2.改变行政强制对象、条件、方式的；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3.违反法定程序实施行政强制的；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4.在夜间或者法定节假日实施行政强制执行的；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5.对居民生活采取停止供水、供电、供热、供燃气等方式迫使当事人履行相关行政决定的；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6.扩大查封、扣押、冻结范围的；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7.使用或者损毁查封、扣押场所、设施或者财物的；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8.在查封、扣押法定期间不作出处理决定或者未依法及时解除查封、扣押的；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10.将查封、扣押的财物或者划拨的存款、汇款以及拍卖和依法处理所得的款项，截留、私分或者变相私分的；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11.利用职务上的便利，将查封、扣押的场所、设施或者财物据为己有的；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12.利用行政强制权为单位或者个人谋取利益的；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13.违反法律规定，给公民、法人或者其他组织造成损失的；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14.有其他违法实施行政强制情形的。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1.【法律】《中华人民共和国行政强制法》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违反本法规定，行政机关有下列情形之一的，由上级行政机关或者有关部门责令改正，对直接负责的主管人员和其他直接责任人员依法给予处分：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行政机关工作人员利用职务上的便利，将查封、扣押的场所、设施或者财物据为己有的，由上级行政机关或者有关部门责令改正，依法给予记大过、降级、撤职或者开除的处分。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行政机关及其工作人员利用行政强制权为单位或者个人谋取利益的，由上级行政机关或者有关部门责令改正，对直接负责的主管人员和其他直接责任人员依法给予处分。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与《自治区党委编办关于印发〈广西赋予乡镇（街道）部分县级管理权限清单（第一批）〉的通知》（桂编办发〔2019〕195号）中的“代为补种树木”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政征收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社会抚养费征收</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1.【法律】《中华人民共和国人口与计划生育法》第四十一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不符合本法第十八条规定生育子女的公民，应当依法缴纳社会抚养费。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2.【行政法规】《社会抚养费征收管理办法》（2002年国务院令第357号）第三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人口和计划生育条例》（2012年广西壮族自治区第十一届人民代表大会常务委员会第二十七次会议通过，2020年广西壮族自治区第十三届人民代表大会常务委员会第十八次会议第四次修正）第三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地方政府规章</w:t>
            </w:r>
            <w:r>
              <w:rPr>
                <w:rFonts w:hint="eastAsia" w:ascii="Times New Roman" w:hAnsi="Times New Roman" w:eastAsia="仿宋_GB2312"/>
                <w:color w:val="auto"/>
                <w:kern w:val="0"/>
                <w:sz w:val="20"/>
                <w:szCs w:val="20"/>
                <w:highlight w:val="none"/>
              </w:rPr>
              <w:t>】《广西壮族自治区人口和计划生育管理办法》（2014年广西壮族自治区人民政府令 第102号公布，2019年广西壮族自治区人民政府令第130号修正）第二十二条第三款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社会抚养费的征收由县级卫生健康主管部门统一作书面征收决定书，委托乡镇人民政府或者城市街道办事处代收代缴。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1.受理阶段责任：公示告知征收标准、金额计算方式、征收适用类型、征收方式以及其他应当公示的内容；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2.审核责任:审查社会扶养费征收的批准材料，对照材料，审查符合的征收标准；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3.确定阶段责任：对照标准，计算并确认缴费数额，并要严格按照规定的范围、标准和时限要求征收社会抚养。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4.事后监管阶段责任：对未及时缴费进行催报催缴。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【行政法规】《社会抚养费征收管理办法》第三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任何单位和个人不得违反法律、法规的规定擅自增设与计划生育有关的收费项目，提高社会抚养费征收标准。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社会抚养费及滞纳金应当全部上缴国库，按照国务院财政部门的规定纳入地方财政预算管理；任何单位和个人不得截留、挪用、贪污、私分。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4.同1</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1.对查实的违法生育未依法启动征收程序的；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2.无合法依据或未按程序实施征收的；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3.无合法依据擅自降低或提高征收标准的；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4.未使用规定票据或伪造、涂改票据的；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5.在征收工作中玩忽职守、滥用职权、发生违法行政和腐败行为的；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6.截留、挪用、贪污、私分或违反规定擅自开支补偿费的；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国家机关工作人员在计划生育工作中，有下列行为之一，构成犯罪的，依法追究刑事责任；尚不构成犯罪的，依法给予处分；有违法所得的，没收违法所得: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（一）侵犯公民人身权、财产权和其他合法权益的；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（三）索取、收受贿赂的；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（四）截留、克扣、挪用、贪污计划生育经费的；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2.【规章】《社会抚养费征收管理办法</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lang w:val="en-US" w:eastAsia="zh-CN"/>
              </w:rPr>
              <w:t>2021年</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第十三条　违反法律、法规的规定，擅自增设与计划生育有关的收费项目或者擅自提高社会抚养费征收标准的，依照《违反行政事业性收费和罚没收入收支两条线管理规定行政处分暂行规定》处理。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第十四条　截留、挪用、贪污、私分社会抚养费的，依照</w:t>
            </w:r>
            <w:r>
              <w:rPr>
                <w:rFonts w:hint="default" w:ascii="Times New Roman" w:hAnsi="Times New Roman" w:eastAsia="仿宋_GB2312"/>
                <w:color w:val="auto"/>
                <w:kern w:val="0"/>
                <w:sz w:val="20"/>
                <w:szCs w:val="20"/>
                <w:highlight w:val="none"/>
              </w:rPr>
              <w:fldChar w:fldCharType="begin"/>
            </w:r>
            <w:r>
              <w:rPr>
                <w:rFonts w:hint="default" w:ascii="Times New Roman" w:hAnsi="Times New Roman" w:eastAsia="仿宋_GB2312"/>
                <w:color w:val="auto"/>
                <w:kern w:val="0"/>
                <w:sz w:val="20"/>
                <w:szCs w:val="20"/>
                <w:highlight w:val="none"/>
              </w:rPr>
              <w:instrText xml:space="preserve"> HYPERLINK "http://www.jiuwenlaw.com/fagui/1597.html" \t "https://www.jiuwenlaw.com/fagui/_blank" </w:instrText>
            </w:r>
            <w:r>
              <w:rPr>
                <w:rFonts w:hint="default" w:ascii="Times New Roman" w:hAnsi="Times New Roman" w:eastAsia="仿宋_GB2312"/>
                <w:color w:val="auto"/>
                <w:kern w:val="0"/>
                <w:sz w:val="20"/>
                <w:szCs w:val="20"/>
                <w:highlight w:val="none"/>
              </w:rPr>
              <w:fldChar w:fldCharType="separate"/>
            </w:r>
            <w:r>
              <w:rPr>
                <w:rFonts w:hint="default" w:ascii="Times New Roman" w:hAnsi="Times New Roman" w:eastAsia="仿宋_GB2312"/>
                <w:color w:val="auto"/>
                <w:kern w:val="0"/>
                <w:sz w:val="20"/>
                <w:szCs w:val="20"/>
                <w:highlight w:val="none"/>
              </w:rPr>
              <w:t>刑法</w:t>
            </w:r>
            <w:r>
              <w:rPr>
                <w:rFonts w:hint="default" w:ascii="Times New Roman" w:hAnsi="Times New Roman" w:eastAsia="仿宋_GB2312"/>
                <w:color w:val="auto"/>
                <w:kern w:val="0"/>
                <w:sz w:val="20"/>
                <w:szCs w:val="20"/>
                <w:highlight w:val="none"/>
              </w:rPr>
              <w:fldChar w:fldCharType="end"/>
            </w:r>
            <w:r>
              <w:rPr>
                <w:rFonts w:hint="default" w:ascii="Times New Roman" w:hAnsi="Times New Roman" w:eastAsia="仿宋_GB2312"/>
                <w:color w:val="auto"/>
                <w:kern w:val="0"/>
                <w:sz w:val="20"/>
                <w:szCs w:val="20"/>
                <w:highlight w:val="none"/>
              </w:rPr>
              <w:t>关于贪污罪、挪用公款罪、私分国有资产罪的规定，依法追究刑事责任;尚不够刑事处罚的，对直接负责的主管人员和其他直接责任人员依法给予降级、撤职或者开除的行政处分。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10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最低生活保障救助资金的给付</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第十二条：对批准获得最低生活保障的家庭，县级人民政府民政部门按照共同生活的家庭成员人均收入低于当地最低生活保障标准的差额，按月发给最低生活保障金。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对获得最低生活保障后生活仍有困难的老年人、未成年人、重度残疾人和重病患者，县级以上地方人民政府应当采取必要措施给予生活保障。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4.给付责任：按照相关规定，按月发放最低生活保障金。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3—2.同2—2。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4.同2—2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3.【规章】《城市居民最低生活保障条例》</w:t>
            </w:r>
            <w:r>
              <w:rPr>
                <w:rFonts w:hint="default" w:ascii="Times New Roman" w:hAnsi="Times New Roman" w:eastAsia="仿宋_GB2312"/>
                <w:color w:val="auto"/>
                <w:kern w:val="0"/>
                <w:sz w:val="20"/>
                <w:szCs w:val="20"/>
                <w:highlight w:val="none"/>
                <w:lang w:val="en-US" w:eastAsia="zh-CN"/>
              </w:rPr>
              <w:t>第十三条 从事城市居民最低生活保障管理审批工作的人员有下列行为之一的，给予批评教育，依法给予行政处分;构成犯罪的，依法追究刑事责任：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(二)玩忽职守、徇私舞弊，或者</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"https://www.66law.cn/special/twzzds/" \o "贪污"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贪污</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、挪用、扣压、拖欠城市居民最低生活保障款物的。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第十四条 享受城市居民最低生活保障待遇的城市居民有下列行为之一的，由县级人民政府民政部门给予批评教育或者警告，追回其冒领的城市居民最低生活保障款物;情节恶劣的，处冒领金额1倍以上3倍以下的罚款：</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(一)采取虚报、隐瞒、伪造等手段，骗取享受城市居民最低生活保障待遇的;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(二)在享受城市居民最低生活保障待遇期间家庭收入情况好转，不按规定告知管理审批机关，继续享受城市居民最低生活保障待遇的。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第十五条 城市居民对县级人民政府民政部门作出的不批准享受城市居民最低生活保障待遇或者减发、停发城市居民最低生活保障款物的决定或者给予的</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"https://www.66law.cn/special/xingzhengchufa/" \o "行政处罚"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行政处罚</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不服的，可以依法申请行政复议;对复议决定仍不服的，可以依法提起</w:t>
            </w:r>
            <w:r>
              <w:rPr>
                <w:rFonts w:hint="eastAsia" w:eastAsia="仿宋_GB2312"/>
                <w:color w:val="auto"/>
                <w:kern w:val="0"/>
                <w:sz w:val="20"/>
                <w:szCs w:val="20"/>
                <w:highlight w:val="none"/>
                <w:lang w:val="en-US" w:eastAsia="zh-CN"/>
              </w:rPr>
              <w:t>行政诉讼</w:t>
            </w:r>
            <w:r>
              <w:rPr>
                <w:rFonts w:hint="default" w:ascii="Times New Roman" w:hAnsi="Times New Roman" w:eastAsia="仿宋_GB2312"/>
                <w:color w:val="auto"/>
                <w:kern w:val="0"/>
                <w:sz w:val="20"/>
                <w:szCs w:val="20"/>
                <w:highlight w:val="none"/>
                <w:lang w:val="en-US"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w:t>
            </w:r>
            <w:r>
              <w:rPr>
                <w:rFonts w:hint="eastAsia" w:ascii="Times New Roman" w:hAnsi="Times New Roman" w:eastAsia="仿宋_GB2312"/>
                <w:color w:val="auto"/>
                <w:kern w:val="0"/>
                <w:sz w:val="16"/>
                <w:szCs w:val="16"/>
                <w:highlight w:val="none"/>
              </w:rPr>
              <w:t>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30" w:lineRule="exact"/>
              <w:jc w:val="both"/>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临时救助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1.审查责任：审查是否符合临时救助的情形。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2.公示责任：对符合条件的人员名单进行公示。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3.审批责任：及时审批，按时办结。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4.给付责任：发放临时救助金。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16"/>
                <w:szCs w:val="16"/>
                <w:highlight w:val="none"/>
              </w:rPr>
              <w:t>2.发放资金由县级民政部门给付。</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特困人员救助供养</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第十六条：申请特困人员供养，由本人向户籍所在地的乡镇人民政府、街道办事处提出书面申请；本人申请有困难的，可以委托村民委员会、居民委员会代为提出申请。</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1.审查责任：材料审核（申请特困的书面证明材料等）。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2.审批责任：进行审批，按时办结（予以批准，发放证书，进行公布；不予批准，书面说明理由）。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4.给付责任：给予城乡特困人员供养。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【法规】《农村五保供养工作条例》第二十三条 按照五保供养协议负有扶养义务的人拒绝扶养五保对象，情节恶劣构成犯罪的，依法追究刑事责任。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五保供养工作人员贪污、挪用五保供养款物的，县级人民政府民政部门应当责令其全部退还，并给予行政处分；构成犯罪的，依法追究刑事责任。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57"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sz w:val="20"/>
                <w:szCs w:val="20"/>
                <w:highlight w:val="none"/>
                <w:lang w:val="en-US" w:eastAsia="zh-CN"/>
              </w:rPr>
              <w:t>13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困难残疾人生活补贴和重度残疾人护理补贴</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1.困难残疾人生活补贴给付</w:t>
            </w: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县级以上地方人民政府对享受最低生活保障待遇后生活仍有特别困难的残疾人家庭，应当采取其他措施保障其基本生活。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1.审核责任：审核申请人是否符合获得补贴的资格，并发放残疾人补贴。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2.监督管理责任：监督管理各地方的补贴发放情况。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3.评定责任：困难残疾人生活补贴对象为户籍在广西壮族自治区的最低生活保障家庭中的残疾人。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4.给付责任：对符合条件的残疾人，地方各级人民政府根据情况给予相应补贴。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4—2.同3。</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【法律】《中华人民共和国残疾人保障法》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残疾人组织对残疾人通过诉讼维护其合法权益需要帮助的，应当给予支持。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残疾人组织对侵害特定残疾人群体利益的行为，有权要求有关部门依法查处。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残疾人的合法权益受到侵害的，有权要求有关部门依法处理，或者依法向仲裁机构申请仲裁，或者依法向人民法院提起诉讼。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对有经济困难或者其他原因确需法律援助或者司法救助的残疾人，当地法律援助机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构或者人民法院应当给予帮助，依法为其提供法律援助或者司法救助。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违反本法规定，通过大众传播媒介或者其他方式贬低损害残疾人人格的，由文化、广播电影电视、新闻出版或者其他有关主管部门依据各自的职权责令改正，并依法给予行政处罚。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违反本法规定，有关教育机构拒不接收残疾学生入学，或者在国家规定的录取要求以外附加条件限制残疾学生就学的，由有关主管部门责令改正，并依法对直接负责的主管人员和其他直接责任人员给予处分。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违反本法规定，在职工的招用等方面歧视残疾人的，由有关主管部门责令改正；残疾人劳动者可以依法向人民法院提起诉讼。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第六十五条 违反本法规定，供养、托养机构及其工作人员侮辱、虐待、遗弃残疾人的，对直接负责的主管人员和其他直接责任人员依法给予处分；构成违反治安管理行为的，依法给予行政处罚。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违反本法规定，新建、改建和扩建建筑物、道路、交通设施，不符合国家有关无障碍设施工程建设标准，或者对无障碍设施未进行及时维修和保护造成后果的，由有关主管部门依法处理。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违反本法规定，侵害残疾人的合法权益，其他法律、法规规定行政处罚的，从其规定；造成财产损失或者其他损害的，依法承担民事责任；构成犯罪的，依法追究刑事责任。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消防安全</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社会治安综合治理办公室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.【规范性文件】《消防安全责任制实施办法》（国办发〔2017〕87号）第九条：乡镇人民政府消防工作职责：（六）部署消防安全整治，组织开展消防安全检查，督促整改火灾隐患。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街道办事处应当履行前款第（一）、（四）、（五）、（六）、（七）项职责，并保障消防工作经费。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w:t>
            </w:r>
            <w:r>
              <w:rPr>
                <w:rFonts w:hint="eastAsia" w:ascii="Times New Roman" w:hAnsi="Times New Roman" w:eastAsia="仿宋_GB2312"/>
                <w:color w:val="auto"/>
                <w:kern w:val="0"/>
                <w:sz w:val="20"/>
                <w:szCs w:val="20"/>
                <w:highlight w:val="none"/>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2.检查责任：按照上级要求和相关标准，对单位开展消防安全检查；属于监督执法检查时，执法人员不得少于2人，并按照有关规定进行。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3.处理责任：制作检查记录，对检查发现的问题提出整改和处理意见，并督促整改消防安全违法行为和火灾隐患，对重大消防问题或者火灾隐患实行专项督办。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社会治安综合治理办公室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3—3.【规范性文件】《消防安全责任制实施办法》（国办发〔2017〕87号）第九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【法规】《广西行政执法监督条例》（201</w:t>
            </w:r>
            <w:r>
              <w:rPr>
                <w:rFonts w:hint="eastAsia" w:ascii="Times New Roman" w:hAnsi="Times New Roman" w:eastAsia="仿宋_GB2312"/>
                <w:color w:val="auto"/>
                <w:kern w:val="0"/>
                <w:sz w:val="20"/>
                <w:szCs w:val="20"/>
                <w:highlight w:val="none"/>
                <w:lang w:val="en-US" w:eastAsia="zh-CN"/>
              </w:rPr>
              <w:t>0</w:t>
            </w:r>
            <w:r>
              <w:rPr>
                <w:rFonts w:hint="eastAsia" w:ascii="Times New Roman" w:hAnsi="Times New Roman" w:eastAsia="仿宋_GB2312"/>
                <w:color w:val="auto"/>
                <w:kern w:val="0"/>
                <w:sz w:val="20"/>
                <w:szCs w:val="20"/>
                <w:highlight w:val="none"/>
              </w:rPr>
              <w:t>年</w:t>
            </w:r>
            <w:r>
              <w:rPr>
                <w:rFonts w:hint="eastAsia" w:ascii="Times New Roman" w:hAnsi="Times New Roman" w:eastAsia="仿宋_GB2312"/>
                <w:color w:val="auto"/>
                <w:kern w:val="0"/>
                <w:sz w:val="20"/>
                <w:szCs w:val="20"/>
                <w:highlight w:val="none"/>
                <w:lang w:val="en-US" w:eastAsia="zh-CN"/>
              </w:rPr>
              <w:t>8</w:t>
            </w:r>
            <w:r>
              <w:rPr>
                <w:rFonts w:hint="eastAsia" w:ascii="Times New Roman" w:hAnsi="Times New Roman" w:eastAsia="仿宋_GB2312"/>
                <w:color w:val="auto"/>
                <w:kern w:val="0"/>
                <w:sz w:val="20"/>
                <w:szCs w:val="20"/>
                <w:highlight w:val="none"/>
              </w:rPr>
              <w:t>月</w:t>
            </w: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日）第十七条 行政执法监督机构根据行政执法监督结果，可以区别情况制发《行政执法督察通知书》或者《行政执法督察决定书》，对行政执法机关及其执法人员作出以下处理： (一)贯彻法律、法规、规章组织、部署执行不力的，提出整改意见，责令有关行政执法机关改进工 作，并可给予通报批评;(二)违反规定委托行政执法的，责令限期改正。逾期不改正的，确认委托违法，并予以公告;(三)未取得行政执法证件从事行政执法工作的，责令其停止行政执法工作;(四)行政执法人员违法执法行为情节严重的，吊销其行政执法证件，并报发证机关备案; (五)实施具体行政行为违法、不当的，责令限期改正。逾期不改正的，确认违法;(六)不履行法定职责的，责令限期履行。对行政执法机关及其行政执法人员的违法情况和处理结果，予以通报或者向社会公布。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行政执法行为对公民、法人或者其他组织的合法权益造成损害，经行政执法监督机构确认 违法的，当事人可以依照国家赔偿法的规定要求国家赔偿。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第十九条 行政执法机关作出的行政执法行为违法、不当，侵害社会公共利益和公民、法人或者其他 组织合法权益的，行政执法监督机构可以根据情节作出如下处理：(一)建议将负有直接责任的行政执法人员调离行政执法岗位; (二)建议有关部门取消该行政执法机关负有直接责任的行政执法人员当年评优评先或者提职晋级资 格; (三)建议有关机关对负有直接责任的负责人和其他直接责任人员给予相应组织处理。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第二十条 行政执法机关拒绝、阻挠行政执法监督，经责令改正仍不自行纠正违法行为，或者拒不执 行行政执法监督处理决定的，建议监察机关对相关责任人员进行查处。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第二十一条 行政执法监督机构根据本办法第十七条作出行政执法监督处理前，应当听取被处理的行 政执法机关或者行政执法人员的意见。 行政执法机关及其行政执法人员对行政执法监督处理有异议的，可以向作出处理的行政执法监督机构申请复查。</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对生产经营单位提取、使用和管理安全费用情况的监督检查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【规范性文件】《企业安全生产费用提取和使用管理办法》（财企〔2012〕16号）第三十五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各级财政部门、安全生产监督管理部门、煤矿安全监察机构和有关行业主管部门依法对企业安全费用提取、使用和管理进行监督检查。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rPr>
              <w:t>16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对生产经营单位消除重大事故隐患的监督检查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生产经营单位应当建立健全生产安全事故隐患排查治理制度，采取技术、管理措施，及时发现并消除事故隐患。事故隐患排查治理情况应当如实记录，并向从业人员通报。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县级以上地方各级人民政府负有安全生产监督管理职责的部门应当建立健全重大事故隐患治理督办制度，督促生产经营单位消除重大事故隐患。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17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对安全生产评价、检验、检测机构的监督检查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2.【部门规章】《安全评价检测检验机构管理办法》（2019年应急管理部令第1号）第三条第三款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设区的市级人民政府、县级人民政府应急管理部门、煤矿安全生产监督管理部门按照各自的职责，对安全评价检测检验机构执业行为实施监督检查，并对发现的违法行为依法实施行政处罚。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对非煤矿山企业劳动条件、安全状况、作业场所、生产设备、职工安全教育和培训工作等情况的监督检查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2.【法律】《中华人民共和国矿山安全法》第三十三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县级以上各级人民政府劳动行政主管部门对矿山安全工作行使下列监督职责：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（一）检查矿山企业和管理矿山企业的主管部门贯彻执行矿山安全法律、法规的情况；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（二）参加矿山建设工程安全设施的设计审查和竣工验收；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（三）检查矿山劳动条件和安全状况；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（四）检查矿山企业职工安全教育、培训工作；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（五）监督矿山企业提取和使用安全技术措施专项费用的情况；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（六）参加并监督矿山事故的调查和处理；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（七）法律、行政法规规定的其他监督职责。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19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对危险化学品生产、储存、使用、经营、运输企业安全生产情况的监督检查和隐患排查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2.【部门规章】《危险化学品安全管理条例》（2002年国务院令第344号公布，2013年国务院令第645号修订）第七十六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负有危险化学品安全监督管理职责的部门依法进行监督检查，可以采取下列措施：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（一）进入危险化学品作业场所实施现场检查，向有关单位和人员了解情况，查阅、复制有关文件、资料；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（二）发现危险化学品事故隐患，责令立即消除或者限期消除；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（三）对不符合法律、行政法规、规章规定或者国家标准、行业标准要求的设施、设备、装置、器材、运输工具，责令立即停止使用；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经本部门主要负责人批准，查封违法生产、储存、使用、经营危险化学品的场所，扣押违法生产、储存、使用、经营、运输的危险化学品以及用于违法生产、使用、运输危险化学品的原材料、设备、运输工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（五）发现影响危险化学品安全的违法行为，当场予以纠正或者责令限期改正。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负有危险化学品安全监督管理职责的部门依法进行监督检查，监督检查人员不得少于2人，并应当出示执法证件；有关单位和个人对依法进行的监督检查应当予以配合，不得拒绝、阻碍。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对烟花爆竹生产企业的监督检查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2.【部门规章】《烟花爆竹生产企业安全生产许可证实施办法》（2012年国家安全监管总局令第54号）第三十五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发证机关及所在地人民政府安全生产监督管理部门应当加强对烟花爆竹生产企业的监督检查，督促其依照法律、法规、规章和国家标准、行业标准的规定进行生产。</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对非药品类易制毒化学品生产、经营的监督检查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2.【行政法规】《易制毒化学品管理条例》（2005年国务院令第445号公布，2018年国务院令第703号修订）第三十二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3.【部门规章】《非药品类易制毒化学品生产、经营许可实施办法》（2006年国家安全生产监督管理总局令第60号）第二十五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县级以上人民政府安全生产监督管理部门应当加强非药品类易制毒化学品生产、经营的监督检查工作。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对存在重大危险源的危险化学品单位的监督检查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2.【部门规章】《危险化学品重大危险源监督管理暂行规定》（2011年国家安全生产监督管理总局令第40号公布，2015年国家安全监管总局令第79号修正）第三十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首次对重大危险源的监督检查应当包括下列主要内容：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（一）重大危险源的运行情况、安全管理规章制度及安全操作规程制定和落实情况；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（二）重大危险源的辨识、分级、安全评估、登记建档、备案情况；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（三）重大危险源的监测监控情况；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（四）重大危险源安全设施和安全监测监控系统的检测、检验以及维护保养情况；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（五）重大危险源事故应急预案的编制、评审、备案、修订和演练情况；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（六）有关从业人员的安全培训教育情况；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（七）安全标志设置情况；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（八）应急救援器材、设备、物资配备情况；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（九）预防和控制事故措施的落实情况。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对小型露天采石场安全生产情况隐患排查情况的监督检查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2.【部门规章】《小型露天采石场安全管理与监督检查规定》（2011年国家安全监管总局令第39号公布，2015年国家安全监管总局令第78号修正）第二十九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安全生产监督管理部门应当加强对小型露天采石场的监督检查，对检查中发现的事故隐患和安全生产违法违规行为，依法作出现场处理或者实施行政处罚。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对地质勘探单位安全生产情况的监督检查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2.【部门规章】《金属与非金属矿产资源地质勘探安全生产监督管理暂行规定》（2010年国家安全监管总局令第35号公布，2015年国家安全监管总局令第78号修正）第二十二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安全生产监督管理部门应当加强对地质勘探单位安全生产的监督检查，对检查中发现的事故隐患和安全生产违法违规行为，依法作出现场处理或者实施行政处罚。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对生产经营单位应急预案的编制、定期演练和备案等事项的监督检查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2.【行政法规】《生产安全事故应急条例》（2019年国务院令第708号）第三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县级以上人民政府应急管理部门指导、协调本级人民政府其他负有安全生产监督管理职责的部门和下级人民政府的生产安全事故应急工作。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乡、镇人民政府以及街道办事处等地方人民政府派出机关应当协助上级人民政府有关部门依法履行生产安全事故应急工作职责。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3.【部门规章】《生产安全事故应急预案管理办法》（2016年国家安全生产监督管理总局令第88号公布，2019年应急管理部令第2号修正）第四条第二款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对非煤矿山外包工程安全生产的监督检查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2.【部门规章】《非煤矿山外包工程安全管理暂行办法》（2013年国家安全监管总局令第62号公布，2015年国家安全监管总局令第78号修正）第二十九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安全生产监督管理部门应当加强对外包工程的安全生产监督检查，重点检查下列事项：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（一）发包单位非煤矿山安全生产许可证、安全生产管理协议、安全投入等情况；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（二）承包单位的施工资质、应当依法取得的非煤矿山安全生产许可证、安全投入落实、承包单位及其项目部的安全生产管理机构、技术力量配备、相关人员的安全资格和持证等情况；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（三）违法发包、转包、分项发包等行为。</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《独生子女父母光荣证》核发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"javascript:SLC(18415926)" \o ""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1.【法律】《中华人民共和国人口与计划生育法》第二十七条第一款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在国家提倡一对夫妻生育一个子女期间，自愿终身只生育一个子女的夫妻，国家发给《独生子女父母光荣证》。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auto"/>
                <w:kern w:val="0"/>
                <w:sz w:val="20"/>
                <w:szCs w:val="20"/>
                <w:highlight w:val="none"/>
              </w:rPr>
              <w:fldChar w:fldCharType="end"/>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3.没有按照工作要求核实申请人情况的；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rPr>
              <w:t>、收受贿赂或向当事人索取财物的；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5.其他违反法律法规规章文件规定的行为</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28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流动人口婚育证明核发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流动人口的计划生育工作由其户籍所在地和现居住地的人民政府共同负责管理，以现居住地为主。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流动人口计划生育工作的具体管理办法、计划生育技术服务的具体管理办法和社会抚养费的征收管理办法，由国务院制定。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2.【行政法规】《流动人口计划生育工作条例》（2009年国务院令第555号）第七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流动人口户籍所在地的乡（镇）人民政府、街道办事处应当及时出具婚育证明。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方正书宋_GBK" w:hAnsi="宋体" w:eastAsia="方正书宋_GBK"/>
                <w:color w:val="auto"/>
                <w:kern w:val="0"/>
                <w:sz w:val="20"/>
                <w:szCs w:val="20"/>
                <w:highlight w:val="none"/>
              </w:rPr>
              <w:t xml:space="preserve"> </w:t>
            </w: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2.没有严格按照工作规程组织鉴定，违反公开、透明、公正的原则，未能真实反映情况的；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lang w:eastAsia="zh-CN"/>
              </w:rPr>
              <w:t>、提供不实材料，导致不正确鉴定结论的；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5.其他违反法律法规规章文件规定的行为。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29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生育登记（一孩/二孩）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地方性法规】《广西壮族自治区人口和计划生育条例》（2012年广西壮族自治区第十一届人民代表大会常务委员会第二十七次会议通过，2020年广西壮族自治区第十三届人民代表大会常务委员会第十八次会议第四次修正）　第十七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5.事后监管责任：定期或不定期检查已发单位是否有违反《放射诊疗管理规定》的行为，对违法行为依法查处，并给予有关责任人相关处分。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auto"/>
                <w:kern w:val="0"/>
                <w:sz w:val="20"/>
                <w:szCs w:val="20"/>
                <w:highlight w:val="none"/>
                <w:lang w:eastAsia="zh-CN"/>
              </w:rPr>
              <w:t>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auto"/>
                <w:kern w:val="0"/>
                <w:sz w:val="20"/>
                <w:szCs w:val="20"/>
                <w:highlight w:val="none"/>
                <w:lang w:eastAsia="zh-CN"/>
              </w:rPr>
              <w:t>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【行政法规】《医师执业注册暂行办法》第八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注册主管部门应当自收到注册申请之日起30日内，对申请人提交的申请材料进行审核。审核合格的，予以注册，并发给卫生部统一印制的《医师执业证书》。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对不符合注册条件的，注册主管部门应当自收到注册申请之日起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日内，书面通知申请人，并说明理由。申请人如有异议的，可以依法申请行政复议或者向人民法院提起行政诉讼。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日内办理变更注册手续。对因不符合变更注册条件不予变更的，应当自收到变更注册申请之日起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4"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出具非医学需要鉴定胎儿性别和选择性终止妊娠的证明</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兴安县界首镇社会事务办公室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符合法定生育条件且妊娠十四周以上的妇女不得人工终止妊娠，但有下列情形之一的除外：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（一）胎儿有严重缺陷或者患有严重遗传性疾病的；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（二）妊娠妇女患有严重疾病，继续妊娠将危及生命安全或者严重危害健康的；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（三）经自治区人民政府卫生行政部门指定的医疗保健机构诊断认为需要终止妊娠的；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（四）离婚、丧偶等要求终止妊娠的。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医疗保健机构或者计划生育技术服务机构施行人工终止妊娠手术前，应当遵守下列规定：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（二）有第九条第四项规定情形的，查验本人身份证明和县级人民政府人口和计划生育行政部门或者所在乡（镇）人民政府、街道办事处计划生育工作机构出具的证明。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1.受理环节责任：公示依法应当提交的材料和受理条件；一次性告知补齐补正材料；依法受理或不予受理（不予受理应当告知理由）。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2.审查环节责任：审核材料真实性和合法性，并提出审查意见。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3.决定环节责任：作出行政许可或不予行政许可的决定（不予许可的应书面说明理由，并告知当事人享有依法申请行政复议或提起行政诉讼的权利）。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4.送达环节责任：准予许可的，制发许可证书或批件。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5.</w:t>
            </w:r>
            <w:r>
              <w:rPr>
                <w:rFonts w:hint="eastAsia" w:ascii="Times New Roman" w:hAnsi="Times New Roman" w:eastAsia="仿宋_GB2312"/>
                <w:color w:val="auto"/>
                <w:kern w:val="0"/>
                <w:sz w:val="20"/>
                <w:szCs w:val="20"/>
                <w:highlight w:val="none"/>
              </w:rPr>
              <w:t>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1.对符合法定条件的申请不予受理；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2.对不符合条件的申请，违规受理，造成不良影响的；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经济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兴安县界首镇</w:t>
            </w:r>
            <w:r>
              <w:rPr>
                <w:rFonts w:hint="eastAsia" w:ascii="Times New Roman" w:hAnsi="Times New Roman" w:eastAsia="仿宋_GB2312"/>
                <w:color w:val="auto"/>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街道办事处和居（村）民委员会应当广泛动员和组织社会力量积极参与并认真做好经济普查工作。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（兴安县界首镇</w:t>
            </w:r>
            <w:r>
              <w:rPr>
                <w:rFonts w:hint="eastAsia" w:ascii="Times New Roman" w:hAnsi="Times New Roman" w:eastAsia="仿宋_GB2312"/>
                <w:color w:val="auto"/>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【法规】《广西壮族自治区统计监督检查条例》（1997年12月4日广西壮族自治区第八届人民代表大会常务委员会第三十一次会议修正）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统计检查员玩忽职守、收受贿赂、徇私舞弊的，给予行政处分，构成犯罪的，依法追究刑事责任。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 违反统计资料保密规定的，按照法律、法规和国家有关规定处理。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农业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兴安县界首镇人民政府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兴安县界首镇</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（兴安县界首镇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【行政法规】《全国农业普查条例》（2006年8月23日中华人民共和国国务院令 第473号发布）第三十六条对认真执行本条例,忠于职守,坚持原则,做出显著成绩的单位和个人,应当给予奖励。</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第三十七条　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第三十八条　普查人员不执行普查方案,伪造、篡改普查资料,强令、授意普查对象提供虚假普查资料的,由县级以上人民政府统计机构或者国家统计局派出的调查队责令改正,依法给予行政处分或者纪律处分,并可以给予通报批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（一）拒绝或者妨碍普查办公室、普查人员依法进行调查的；（二）提供虚假或者不完整的农业普查资料的；（三）未按时提供与农业普查有关的资料,经催报后仍未提供的；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（四）拒绝、推诿和阻挠依法进行的农业普查执法检查的；（五）在接受农业普查执法检查时,转移、隐匿、篡改、毁弃原始记录、统计台账、普查表、会计资料及其他相关资料的。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农业普查对象有本条第一款第（一）、（四）项所列违法行为之一的,由公安机关依法给予治安管理处罚。</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第四十条　普查人员失职、渎职等造成严重后果的,应当依法给予行政处分或者纪律处分,并可以由县级以上人民政府统计机构或者国家统计局派出的调查队给予通报批评。</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人口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兴安县界首镇人民政府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兴安县界首镇</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【行政法规】《全国人口普查条例》（2010年国务院令第576号）第三条：人口普查工作按照全国统一领导、部门分工协作、地方分级负责、各方共同参与的原则组织实施。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在人口普查工作期间，各级人民政府设立由统计机构和有关部门组成的人口普查机构（以下简称普查机构），负责人口普查的组织实施工作。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（兴安县界首镇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3.【行政法规】《全国人口普查条例》（2010年5月12日中华人民共和国国务院令 第576号发布）第二十九条：地方各级普查机构应当按照普查方案的规定进行数据处理，并按时上报人口普查资料。</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1.【行政法规】《全国人口普查条例》（2010年5月12日中华人民共和国国务院令 第576号发布）第三十四条　地方人民政府、政府统计机构或者有关部门、单位的负责人有下列行为之一的,由任免机关或者监察机关依法给予处分,并由县级以上人民政府统计机构予以通报；构成犯罪的,依法追究刑事责任: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（六）对本地方、本部门、本单位发生的严重人口普查违法行为失察的。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第三十五条　普查机构在组织实施人口普查活动中有下列违法行为之一的,由本级人民政府或者上级人民政府统计机构责令改正,予以通报；对直接负责的主管人员和其他直接责任人员,由任免机关或者监察机关依法给予处分: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第三十六条　人口普查对象拒绝提供人口普查所需的资料,或者提供不真实、不完整的人口普查资料的,由县级以上人民政府统计机构责令改正,予以批评教育。</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人口普查对象阻碍普查机构和普查人员依法开展人口普查工作,构成违反治安管理行为的,由公安机关依法给予处罚。</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统计资料的补正</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val="en-US" w:eastAsia="zh-CN"/>
              </w:rPr>
              <w:t>兴安县界首镇</w:t>
            </w:r>
            <w:r>
              <w:rPr>
                <w:rFonts w:hint="eastAsia" w:eastAsia="仿宋_GB2312" w:cs="宋体"/>
                <w:kern w:val="0"/>
                <w:sz w:val="20"/>
                <w:szCs w:val="20"/>
                <w:highlight w:val="none"/>
                <w:lang w:eastAsia="zh-CN"/>
              </w:rPr>
              <w:t>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val="en-US" w:eastAsia="zh-CN"/>
              </w:rPr>
              <w:t>界首镇</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1.对统计调查对象提供的统计资料进行审核；</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2.统计资料不完整或者存在明显错误的，督促指导统计调查对象依法予以补充或者改正。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val="en-US" w:eastAsia="zh-CN"/>
              </w:rPr>
              <w:t>界首镇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【行政法规】《中华人民共和国统计法实施条例》（2017年4月12日中华人民共和国国务院令 第681号发布）第四十条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(一)本地方、本部门、本单位大面积发生或者连续发生统计造假、弄虚作假;(二)本地方、本部门、本单位统计数据严重失实，应当发现而未发现;(三)发现本地方、本部门、本单位统计数据严重失实不予纠正。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第四十一条　县级以上人民政府统计机构或者有关部门组织实施营利性统计调查的，由本级人民政府、上级人民政府统计机构或者本级人民政府统计机构责令改正，予以通报;有违法所得的，没收违法所得。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第四十二条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第四十三条　县级以上人民政府统计机构或者有关部门在组织实施统计调查活动中有下列行为之一的，由本级人民政府、上级人民政府统计机构或者本级人民政府统计机构责令改正，予以通报：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违法制定、审批或者备案统计调查项目;(二)未按照规定公布经批准或者备案的统计调查项目及其统计调查制度的主要内容;(三)未执行国家统计标准;(四)未执行统计调查制度;(五)自行修改单个统计调查对象的统计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乡、镇统计人员有前款第三项至第五项所列行为的，责令改正，依法给予处分。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第四十四条　县级以上人民政府统计机构或者有关部门违反本条例第二十四条、第二十五条规定公布统计数据的，由本级人民政府、上级人民政府统计机构或者本级人民政府统计机构责令改正，予以通报。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第四十五条　违反国家有关规定对外提供尚未公布的统计资料或者利用尚未公布的统计资料谋取不正当利益的，由任免机关或者监察机关依法给予处分，并由县级以上人民政府统计机构予以通报。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第四十六条　统计机构及其工作人员有下列行为之一的，由本级人民政府或者上级人民政府统计机构责令改正，予以通报：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第四十七条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第四十八条　地方各级人民政府、县级以上人民政府统计机构和有关部门有本条例第四十一条至第四十七条所列违法行为之一的，对直接负责的主管人员和其他直接责任人员，由任免机关或者监察机关依法给予处分。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第四十九条　乡、镇人民政府有统计法第三十八条第一款、第三十九条第一款所列行为之一的，依照统计法第三十八条、第三十九条的规定追究法律责任。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第五十条　下列情形属于统计法第四十一条第二款规定的情节严重行为：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第五十一条　统计违法行为涉嫌犯罪的，县级以上人民政府统计机构应当将案件移送司法机关处理。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业主委员会成立备案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仿宋_GB2312"/>
                <w:snapToGrid w:val="0"/>
                <w:color w:val="000000"/>
                <w:sz w:val="20"/>
                <w:szCs w:val="20"/>
                <w:highlight w:val="none"/>
                <w:lang w:eastAsia="zh-CN"/>
              </w:rPr>
              <w:t>兴安县界首镇人民政府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兴安县界首镇经济发展办公室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十六条：业主委员会应当自选举产</w:t>
            </w:r>
            <w:r>
              <w:rPr>
                <w:rFonts w:hint="eastAsia" w:ascii="Times New Roman" w:hAnsi="Times New Roman" w:eastAsia="仿宋_GB2312"/>
                <w:color w:val="auto"/>
                <w:kern w:val="0"/>
                <w:sz w:val="20"/>
                <w:szCs w:val="20"/>
                <w:highlight w:val="none"/>
              </w:rPr>
              <w:t>生之</w:t>
            </w:r>
            <w:r>
              <w:rPr>
                <w:rFonts w:hint="default" w:ascii="Times New Roman" w:hAnsi="Times New Roman" w:eastAsia="仿宋_GB2312"/>
                <w:color w:val="auto"/>
                <w:kern w:val="0"/>
                <w:sz w:val="20"/>
                <w:szCs w:val="20"/>
                <w:highlight w:val="none"/>
              </w:rPr>
              <w:t>日起30日内，向物业所在地的区、县人民政府房地产行政主管部门和街道办事处、乡镇人民政</w:t>
            </w:r>
            <w:r>
              <w:rPr>
                <w:rFonts w:hint="eastAsia" w:ascii="Times New Roman" w:hAnsi="Times New Roman" w:eastAsia="仿宋_GB2312"/>
                <w:color w:val="auto"/>
                <w:kern w:val="0"/>
                <w:sz w:val="20"/>
                <w:szCs w:val="20"/>
                <w:highlight w:val="none"/>
              </w:rPr>
              <w:t>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2.【地方性法规】《广西壮族自治区物业管理</w:t>
            </w:r>
            <w:r>
              <w:rPr>
                <w:rFonts w:hint="eastAsia" w:ascii="Times New Roman" w:hAnsi="Times New Roman" w:eastAsia="仿宋_GB2312"/>
                <w:color w:val="auto"/>
                <w:kern w:val="0"/>
                <w:sz w:val="20"/>
                <w:szCs w:val="20"/>
                <w:highlight w:val="none"/>
              </w:rPr>
              <w:t>条例》（</w:t>
            </w:r>
            <w:r>
              <w:rPr>
                <w:rFonts w:hint="default" w:ascii="Times New Roman" w:hAnsi="Times New Roman" w:eastAsia="仿宋_GB2312"/>
                <w:color w:val="auto"/>
                <w:kern w:val="0"/>
                <w:sz w:val="20"/>
                <w:szCs w:val="20"/>
                <w:highlight w:val="none"/>
              </w:rPr>
              <w:t>2001年广西壮族自治区第九届人民代表大会常务委员会第二十四次会</w:t>
            </w:r>
            <w:r>
              <w:rPr>
                <w:rFonts w:hint="eastAsia" w:ascii="Times New Roman" w:hAnsi="Times New Roman" w:eastAsia="仿宋_GB2312"/>
                <w:color w:val="auto"/>
                <w:kern w:val="0"/>
                <w:sz w:val="20"/>
                <w:szCs w:val="20"/>
                <w:highlight w:val="none"/>
              </w:rPr>
              <w:t>议通过，</w:t>
            </w:r>
            <w:r>
              <w:rPr>
                <w:rFonts w:hint="default" w:ascii="Times New Roman" w:hAnsi="Times New Roman" w:eastAsia="仿宋_GB2312"/>
                <w:color w:val="auto"/>
                <w:kern w:val="0"/>
                <w:sz w:val="20"/>
                <w:szCs w:val="20"/>
                <w:highlight w:val="none"/>
              </w:rPr>
              <w:t>2020年广西壮族自治区人大常委会公告（</w:t>
            </w:r>
            <w:r>
              <w:rPr>
                <w:rFonts w:hint="eastAsia" w:ascii="Times New Roman" w:hAnsi="Times New Roman" w:eastAsia="仿宋_GB2312"/>
                <w:color w:val="auto"/>
                <w:kern w:val="0"/>
                <w:sz w:val="20"/>
                <w:szCs w:val="20"/>
                <w:highlight w:val="none"/>
              </w:rPr>
              <w:t>十三</w:t>
            </w:r>
            <w:r>
              <w:rPr>
                <w:rFonts w:hint="default" w:ascii="Times New Roman" w:hAnsi="Times New Roman" w:eastAsia="仿宋_GB2312"/>
                <w:color w:val="auto"/>
                <w:kern w:val="0"/>
                <w:sz w:val="20"/>
                <w:szCs w:val="20"/>
                <w:highlight w:val="none"/>
              </w:rPr>
              <w:t>届第33号）修订）第三十三条：业主委员会自选举产生之日起</w:t>
            </w:r>
            <w:r>
              <w:rPr>
                <w:rFonts w:hint="eastAsia" w:ascii="Times New Roman" w:hAnsi="Times New Roman" w:eastAsia="仿宋_GB2312"/>
                <w:color w:val="auto"/>
                <w:kern w:val="0"/>
                <w:sz w:val="20"/>
                <w:szCs w:val="20"/>
                <w:highlight w:val="none"/>
              </w:rPr>
              <w:t>三十</w:t>
            </w:r>
            <w:r>
              <w:rPr>
                <w:rFonts w:hint="default" w:ascii="Times New Roman" w:hAnsi="Times New Roman" w:eastAsia="仿宋_GB2312"/>
                <w:color w:val="auto"/>
                <w:kern w:val="0"/>
                <w:sz w:val="20"/>
                <w:szCs w:val="20"/>
                <w:highlight w:val="none"/>
              </w:rPr>
              <w:t>日内，持下列资料向街道办事处或者乡镇人民</w:t>
            </w:r>
            <w:r>
              <w:rPr>
                <w:rFonts w:hint="eastAsia" w:ascii="Times New Roman" w:hAnsi="Times New Roman" w:eastAsia="仿宋_GB2312"/>
                <w:color w:val="auto"/>
                <w:kern w:val="0"/>
                <w:sz w:val="20"/>
                <w:szCs w:val="20"/>
                <w:highlight w:val="none"/>
              </w:rPr>
              <w:t>政府备</w:t>
            </w:r>
            <w:r>
              <w:rPr>
                <w:rFonts w:hint="default" w:ascii="Times New Roman" w:hAnsi="Times New Roman" w:eastAsia="仿宋_GB2312"/>
                <w:color w:val="auto"/>
                <w:kern w:val="0"/>
                <w:sz w:val="20"/>
                <w:szCs w:val="20"/>
                <w:highlight w:val="none"/>
              </w:rPr>
              <w:t>案</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一） 业主大会成立和业主委员会</w:t>
            </w:r>
            <w:r>
              <w:rPr>
                <w:rFonts w:hint="eastAsia" w:ascii="Times New Roman" w:hAnsi="Times New Roman" w:eastAsia="仿宋_GB2312"/>
                <w:color w:val="auto"/>
                <w:kern w:val="0"/>
                <w:sz w:val="20"/>
                <w:szCs w:val="20"/>
                <w:highlight w:val="none"/>
              </w:rPr>
              <w:t>选举情</w:t>
            </w:r>
            <w:r>
              <w:rPr>
                <w:rFonts w:hint="default" w:ascii="Times New Roman" w:hAnsi="Times New Roman" w:eastAsia="仿宋_GB2312"/>
                <w:color w:val="auto"/>
                <w:kern w:val="0"/>
                <w:sz w:val="20"/>
                <w:szCs w:val="20"/>
                <w:highlight w:val="none"/>
              </w:rPr>
              <w:t>况</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二）业主大会议事规则、管理规约以及业主大会议事规则、管理规约内容与示范文本内容不一</w:t>
            </w:r>
            <w:r>
              <w:rPr>
                <w:rFonts w:hint="eastAsia" w:ascii="Times New Roman" w:hAnsi="Times New Roman" w:eastAsia="仿宋_GB2312"/>
                <w:color w:val="auto"/>
                <w:kern w:val="0"/>
                <w:sz w:val="20"/>
                <w:szCs w:val="20"/>
                <w:highlight w:val="none"/>
              </w:rPr>
              <w:t>致的说</w:t>
            </w:r>
            <w:r>
              <w:rPr>
                <w:rFonts w:hint="default" w:ascii="Times New Roman" w:hAnsi="Times New Roman" w:eastAsia="仿宋_GB2312"/>
                <w:color w:val="auto"/>
                <w:kern w:val="0"/>
                <w:sz w:val="20"/>
                <w:szCs w:val="20"/>
                <w:highlight w:val="none"/>
              </w:rPr>
              <w:t>明</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三）业主委员会委员、候补委员的名单、基本情况和书面承诺。前款所列资</w:t>
            </w:r>
            <w:r>
              <w:rPr>
                <w:rFonts w:hint="eastAsia" w:ascii="Times New Roman" w:hAnsi="Times New Roman" w:eastAsia="仿宋_GB2312"/>
                <w:color w:val="auto"/>
                <w:kern w:val="0"/>
                <w:sz w:val="20"/>
                <w:szCs w:val="20"/>
                <w:highlight w:val="none"/>
              </w:rPr>
              <w:t>料齐</w:t>
            </w:r>
            <w:r>
              <w:rPr>
                <w:rFonts w:hint="default" w:ascii="Times New Roman" w:hAnsi="Times New Roman" w:eastAsia="仿宋_GB2312"/>
                <w:color w:val="auto"/>
                <w:kern w:val="0"/>
                <w:sz w:val="20"/>
                <w:szCs w:val="20"/>
                <w:highlight w:val="none"/>
              </w:rPr>
              <w:t>全的，街道办事处或者乡镇人民政府应当自收到资料起五个工作日内出具业主大会、业主委员会</w:t>
            </w:r>
            <w:r>
              <w:rPr>
                <w:rFonts w:hint="eastAsia" w:ascii="Times New Roman" w:hAnsi="Times New Roman" w:eastAsia="仿宋_GB2312"/>
                <w:color w:val="auto"/>
                <w:kern w:val="0"/>
                <w:sz w:val="20"/>
                <w:szCs w:val="20"/>
                <w:highlight w:val="none"/>
              </w:rPr>
              <w:t>备</w:t>
            </w:r>
            <w:r>
              <w:rPr>
                <w:rFonts w:hint="default" w:ascii="Times New Roman" w:hAnsi="Times New Roman" w:eastAsia="仿宋_GB2312"/>
                <w:color w:val="auto"/>
                <w:kern w:val="0"/>
                <w:sz w:val="20"/>
                <w:szCs w:val="20"/>
                <w:highlight w:val="none"/>
              </w:rPr>
              <w:t>案文书，并将备案资料抄送县级人民政府住房城乡建设主管部门。备案文书应当载明业主</w:t>
            </w:r>
            <w:r>
              <w:rPr>
                <w:rFonts w:hint="eastAsia" w:ascii="Times New Roman" w:hAnsi="Times New Roman" w:eastAsia="仿宋_GB2312"/>
                <w:color w:val="auto"/>
                <w:kern w:val="0"/>
                <w:sz w:val="20"/>
                <w:szCs w:val="20"/>
                <w:highlight w:val="none"/>
              </w:rPr>
              <w:t>大会</w:t>
            </w:r>
            <w:r>
              <w:rPr>
                <w:rFonts w:hint="default" w:ascii="Times New Roman" w:hAnsi="Times New Roman" w:eastAsia="仿宋_GB2312"/>
                <w:color w:val="auto"/>
                <w:kern w:val="0"/>
                <w:sz w:val="20"/>
                <w:szCs w:val="20"/>
                <w:highlight w:val="none"/>
              </w:rPr>
              <w:t>名称，业主委</w:t>
            </w:r>
            <w:r>
              <w:rPr>
                <w:rFonts w:hint="eastAsia" w:ascii="Times New Roman" w:hAnsi="Times New Roman" w:eastAsia="仿宋_GB2312"/>
                <w:color w:val="auto"/>
                <w:kern w:val="0"/>
                <w:sz w:val="20"/>
                <w:szCs w:val="20"/>
                <w:highlight w:val="none"/>
              </w:rPr>
              <w:t>员会</w:t>
            </w:r>
            <w:r>
              <w:rPr>
                <w:rFonts w:hint="default" w:ascii="Times New Roman" w:hAnsi="Times New Roman" w:eastAsia="仿宋_GB2312"/>
                <w:color w:val="auto"/>
                <w:kern w:val="0"/>
                <w:sz w:val="20"/>
                <w:szCs w:val="20"/>
                <w:highlight w:val="none"/>
              </w:rPr>
              <w:t>名称，委员、候补</w:t>
            </w:r>
            <w:r>
              <w:rPr>
                <w:rFonts w:hint="eastAsia" w:ascii="Times New Roman" w:hAnsi="Times New Roman" w:eastAsia="仿宋_GB2312"/>
                <w:color w:val="auto"/>
                <w:kern w:val="0"/>
                <w:sz w:val="20"/>
                <w:szCs w:val="20"/>
                <w:highlight w:val="none"/>
              </w:rPr>
              <w:t>委员</w:t>
            </w:r>
            <w:r>
              <w:rPr>
                <w:rFonts w:hint="default" w:ascii="Times New Roman" w:hAnsi="Times New Roman" w:eastAsia="仿宋_GB2312"/>
                <w:color w:val="auto"/>
                <w:kern w:val="0"/>
                <w:sz w:val="20"/>
                <w:szCs w:val="20"/>
                <w:highlight w:val="none"/>
              </w:rPr>
              <w:t>名单，届别、任期、负责人和办公地址。业主大会议事规则、管理规约、业主委员会委员发</w:t>
            </w:r>
            <w:r>
              <w:rPr>
                <w:rFonts w:hint="eastAsia" w:ascii="Times New Roman" w:hAnsi="Times New Roman" w:eastAsia="仿宋_GB2312"/>
                <w:color w:val="auto"/>
                <w:kern w:val="0"/>
                <w:sz w:val="20"/>
                <w:szCs w:val="20"/>
                <w:highlight w:val="none"/>
              </w:rPr>
              <w:t>生</w:t>
            </w:r>
            <w:r>
              <w:rPr>
                <w:rFonts w:hint="default" w:ascii="Times New Roman" w:hAnsi="Times New Roman" w:eastAsia="仿宋_GB2312"/>
                <w:color w:val="auto"/>
                <w:kern w:val="0"/>
                <w:sz w:val="20"/>
                <w:szCs w:val="20"/>
                <w:highlight w:val="none"/>
              </w:rPr>
              <w:t>变更的，业主委员会应当自变更之日起十五日内将变更后有关情况按照本条第一款的规定进行备案。因物业管理区域调整、物业灭失或者其他原因致使业主委员会无</w:t>
            </w:r>
            <w:r>
              <w:rPr>
                <w:rFonts w:hint="eastAsia" w:ascii="Times New Roman" w:hAnsi="Times New Roman" w:eastAsia="仿宋_GB2312"/>
                <w:color w:val="auto"/>
                <w:kern w:val="0"/>
                <w:sz w:val="20"/>
                <w:szCs w:val="20"/>
                <w:highlight w:val="none"/>
              </w:rPr>
              <w:t>法存</w:t>
            </w:r>
            <w:r>
              <w:rPr>
                <w:rFonts w:hint="default" w:ascii="Times New Roman" w:hAnsi="Times New Roman" w:eastAsia="仿宋_GB2312"/>
                <w:color w:val="auto"/>
                <w:kern w:val="0"/>
                <w:sz w:val="20"/>
                <w:szCs w:val="20"/>
                <w:highlight w:val="none"/>
              </w:rPr>
              <w:t>续的，业主委员会应当在三十日内向街道办事处或者乡镇人民政府办理注销备案手续。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3.决定阶段：建设行政主管部门作出同意或不同意的决定，不同意的告知不予许可的理由，按时办结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兴安县界首镇经济发展办公室</w:t>
            </w:r>
            <w:r>
              <w:rPr>
                <w:rFonts w:hint="eastAsia" w:eastAsia="仿宋_GB2312"/>
                <w:color w:val="auto"/>
                <w:kern w:val="0"/>
                <w:sz w:val="20"/>
                <w:szCs w:val="20"/>
                <w:highlight w:val="none"/>
                <w:lang w:val="en-US" w:eastAsia="zh-CN"/>
              </w:rPr>
              <w:t xml:space="preserve"> )</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号修订）第十六条：业主委员会应当自选</w:t>
            </w:r>
            <w:r>
              <w:rPr>
                <w:rFonts w:hint="eastAsia" w:ascii="Times New Roman" w:hAnsi="Times New Roman" w:eastAsia="仿宋_GB2312"/>
                <w:color w:val="auto"/>
                <w:kern w:val="0"/>
                <w:sz w:val="20"/>
                <w:szCs w:val="20"/>
                <w:highlight w:val="none"/>
              </w:rPr>
              <w:t>举产</w:t>
            </w:r>
            <w:r>
              <w:rPr>
                <w:rFonts w:hint="default" w:ascii="Times New Roman" w:hAnsi="Times New Roman" w:eastAsia="仿宋_GB2312"/>
                <w:color w:val="auto"/>
                <w:kern w:val="0"/>
                <w:sz w:val="20"/>
                <w:szCs w:val="20"/>
                <w:highlight w:val="none"/>
              </w:rPr>
              <w:t>生之日起30日内，向物业所在地的区、县人民政府房地产行政主管部门和街道办事处、乡镇人</w:t>
            </w:r>
            <w:r>
              <w:rPr>
                <w:rFonts w:hint="eastAsia" w:ascii="Times New Roman" w:hAnsi="Times New Roman" w:eastAsia="仿宋_GB2312"/>
                <w:color w:val="auto"/>
                <w:kern w:val="0"/>
                <w:sz w:val="20"/>
                <w:szCs w:val="20"/>
                <w:highlight w:val="none"/>
              </w:rPr>
              <w:t>民政府备案。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1.【法规】《物业管理条例》（2003年6月8日中华人民共和国国务院令第379号公布 根据2007年8月26日《国务院关于修改〈物业管理条例〉的决定》修订）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2.【法规】《广西壮族自治区物业管理条例》（2012年11月30日广西壮族自治区第十一届人民代表大会常务委员会第31次会议修订）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县级以上人民政府房产行政主管部门、乡镇人民政府、街道办事处的工作人员违反本条例，有下列情形之一的，由上级行政机关或者主管部门责令改正，并依法给予处分:（一）未按照本条例规定筹备、组织成立业主大会的；（二）未按照本条例规定履行监督检查职责的；（三）违反物业管理投诉处理规定的；（四）发现违法行为或者接到违法行为报告不及时作出处理的；（五）其他玩忽职守、滥用职权、徇私舞弊的情形。</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88"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snapToGrid w:val="0"/>
                <w:color w:val="auto"/>
                <w:sz w:val="20"/>
                <w:szCs w:val="20"/>
                <w:highlight w:val="none"/>
                <w:lang w:val="en-US" w:eastAsia="zh-CN"/>
              </w:rPr>
              <w:t>36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村民住宅开工信息备案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五</w:t>
            </w:r>
            <w:r>
              <w:rPr>
                <w:rFonts w:hint="default" w:ascii="Times New Roman" w:hAnsi="Times New Roman" w:eastAsia="仿宋_GB2312"/>
                <w:color w:val="auto"/>
                <w:kern w:val="0"/>
                <w:sz w:val="20"/>
                <w:szCs w:val="20"/>
                <w:highlight w:val="none"/>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Fonts w:hint="eastAsia" w:ascii="Times New Roman" w:hAnsi="Times New Roman" w:eastAsia="仿宋_GB2312"/>
                <w:color w:val="auto"/>
                <w:kern w:val="0"/>
                <w:sz w:val="20"/>
                <w:szCs w:val="20"/>
                <w:highlight w:val="none"/>
              </w:rPr>
              <w:t>置开工。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3.决定阶段：乡（镇）人民政府作出同意或不同意的决定，不同意的告知理由，按时办结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(兴安县界首镇经济发展办公室)</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Fonts w:hint="eastAsia" w:ascii="Times New Roman" w:hAnsi="Times New Roman" w:eastAsia="仿宋_GB2312"/>
                <w:color w:val="auto"/>
                <w:kern w:val="0"/>
                <w:sz w:val="20"/>
                <w:szCs w:val="20"/>
                <w:highlight w:val="none"/>
              </w:rPr>
              <w:t>、位置开工。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r>
              <w:rPr>
                <w:rStyle w:val="17"/>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7"/>
                <w:rFonts w:hint="eastAsia" w:ascii="Times New Roman" w:hAnsi="Times New Roman" w:eastAsia="仿宋_GB2312"/>
                <w:snapToGrid w:val="0"/>
                <w:color w:val="auto"/>
                <w:highlight w:val="none"/>
              </w:rPr>
            </w:pPr>
          </w:p>
          <w:p>
            <w:pPr>
              <w:shd w:val="clear"/>
              <w:adjustRightInd w:val="0"/>
              <w:snapToGrid w:val="0"/>
              <w:spacing w:line="299"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兴安县界首镇纪委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【法律】《中华人民共和国城乡规划法》（2007年10月28日第十届全国人民代表大会常务委员会第三十次会议通过；2015年4月24日，第十二</w:t>
            </w:r>
            <w:r>
              <w:rPr>
                <w:rFonts w:hint="eastAsia" w:ascii="Times New Roman" w:hAnsi="Times New Roman" w:eastAsia="仿宋_GB2312"/>
                <w:color w:val="auto"/>
                <w:kern w:val="0"/>
                <w:sz w:val="20"/>
                <w:szCs w:val="20"/>
                <w:highlight w:val="none"/>
                <w:lang w:val="en-US" w:eastAsia="zh-CN"/>
              </w:rPr>
              <w:t>7</w:t>
            </w:r>
            <w:r>
              <w:rPr>
                <w:rFonts w:hint="eastAsia" w:ascii="Times New Roman" w:hAnsi="Times New Roman" w:eastAsia="仿宋_GB2312"/>
                <w:color w:val="auto"/>
                <w:kern w:val="0"/>
                <w:sz w:val="20"/>
                <w:szCs w:val="20"/>
                <w:highlight w:val="none"/>
              </w:rPr>
              <w:t>届全国人民代表大会常务委员会第十四次会议修改）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第五十八条——第五十九条　对依法应当编制城乡规划而未组织编制，或者未按法定程序编制、审批、修改城乡规划的，由上级人民政府责令改正，通报批评；城乡规划组织编制机关委托不具有相应资质等级的单位编制城乡规划的，对于以上两种情形，由上级人民政府责令改正，通报批评；对有关人民政府负责人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【法规】《村庄和集镇规划建设管理条例》（1993年中华人民共和国国务院令 第116号发布）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村庄、集镇建设管理人员玩忽职守、滥用职权、徇私舞弊的，由所在单位或者上级主管部门给予行政处分；构成犯罪的，依法追究刑事责任。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bl>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sectPr>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WQyYWRjZGJmZmZkOWY1ZjhkYzMzMGY0ZmMzYmUifQ=="/>
  </w:docVars>
  <w:rsids>
    <w:rsidRoot w:val="0055328B"/>
    <w:rsid w:val="000741AB"/>
    <w:rsid w:val="000D0D81"/>
    <w:rsid w:val="00132A46"/>
    <w:rsid w:val="0015478D"/>
    <w:rsid w:val="00161415"/>
    <w:rsid w:val="001E77FD"/>
    <w:rsid w:val="00246E96"/>
    <w:rsid w:val="00275AC9"/>
    <w:rsid w:val="002A3015"/>
    <w:rsid w:val="00333BBF"/>
    <w:rsid w:val="003D5E5B"/>
    <w:rsid w:val="00426A2F"/>
    <w:rsid w:val="0047799E"/>
    <w:rsid w:val="004B1546"/>
    <w:rsid w:val="004C2E41"/>
    <w:rsid w:val="004D6F63"/>
    <w:rsid w:val="00544B5E"/>
    <w:rsid w:val="00552BAB"/>
    <w:rsid w:val="0055328B"/>
    <w:rsid w:val="005C601B"/>
    <w:rsid w:val="005F64FF"/>
    <w:rsid w:val="00626358"/>
    <w:rsid w:val="00683316"/>
    <w:rsid w:val="006A006F"/>
    <w:rsid w:val="006A5E5D"/>
    <w:rsid w:val="006E49F2"/>
    <w:rsid w:val="006F624F"/>
    <w:rsid w:val="007B67A5"/>
    <w:rsid w:val="0081731D"/>
    <w:rsid w:val="00824507"/>
    <w:rsid w:val="0083254B"/>
    <w:rsid w:val="0086610E"/>
    <w:rsid w:val="0086647C"/>
    <w:rsid w:val="00886AA1"/>
    <w:rsid w:val="008C5A69"/>
    <w:rsid w:val="008C79A7"/>
    <w:rsid w:val="008E4294"/>
    <w:rsid w:val="00942267"/>
    <w:rsid w:val="00982754"/>
    <w:rsid w:val="009A6B6A"/>
    <w:rsid w:val="009D6697"/>
    <w:rsid w:val="009F1662"/>
    <w:rsid w:val="00A45C5A"/>
    <w:rsid w:val="00A67AD2"/>
    <w:rsid w:val="00A94804"/>
    <w:rsid w:val="00B14D9A"/>
    <w:rsid w:val="00B63B80"/>
    <w:rsid w:val="00B77217"/>
    <w:rsid w:val="00B95A90"/>
    <w:rsid w:val="00BD476C"/>
    <w:rsid w:val="00C40A8E"/>
    <w:rsid w:val="00C41BB5"/>
    <w:rsid w:val="00C45D84"/>
    <w:rsid w:val="00CF4516"/>
    <w:rsid w:val="00D07860"/>
    <w:rsid w:val="00D8577B"/>
    <w:rsid w:val="00DC7525"/>
    <w:rsid w:val="00E0131C"/>
    <w:rsid w:val="00E1008C"/>
    <w:rsid w:val="00E26299"/>
    <w:rsid w:val="00E40F00"/>
    <w:rsid w:val="00E94DD8"/>
    <w:rsid w:val="00E96821"/>
    <w:rsid w:val="00F37938"/>
    <w:rsid w:val="00FF2AB4"/>
    <w:rsid w:val="03467F6B"/>
    <w:rsid w:val="03BD1F5D"/>
    <w:rsid w:val="046D5BE8"/>
    <w:rsid w:val="04785EAF"/>
    <w:rsid w:val="04B930B4"/>
    <w:rsid w:val="07173BA7"/>
    <w:rsid w:val="09D1000A"/>
    <w:rsid w:val="0BA852CC"/>
    <w:rsid w:val="0C814163"/>
    <w:rsid w:val="0E327C36"/>
    <w:rsid w:val="0E7D2B95"/>
    <w:rsid w:val="0F267736"/>
    <w:rsid w:val="10AA651A"/>
    <w:rsid w:val="12407A85"/>
    <w:rsid w:val="13025CC8"/>
    <w:rsid w:val="13147A0A"/>
    <w:rsid w:val="13B2717B"/>
    <w:rsid w:val="155362A8"/>
    <w:rsid w:val="155B33AF"/>
    <w:rsid w:val="15903DCC"/>
    <w:rsid w:val="1595051E"/>
    <w:rsid w:val="159B3F2D"/>
    <w:rsid w:val="173C2CB3"/>
    <w:rsid w:val="184A794A"/>
    <w:rsid w:val="18A1557C"/>
    <w:rsid w:val="1998697F"/>
    <w:rsid w:val="1C071CB9"/>
    <w:rsid w:val="1D485101"/>
    <w:rsid w:val="1FD80913"/>
    <w:rsid w:val="217429A0"/>
    <w:rsid w:val="223F7059"/>
    <w:rsid w:val="23A87D98"/>
    <w:rsid w:val="26F2471F"/>
    <w:rsid w:val="27104986"/>
    <w:rsid w:val="2B02276C"/>
    <w:rsid w:val="2CD07D87"/>
    <w:rsid w:val="2DB66F7C"/>
    <w:rsid w:val="32315646"/>
    <w:rsid w:val="33B26438"/>
    <w:rsid w:val="33B75A32"/>
    <w:rsid w:val="356A074D"/>
    <w:rsid w:val="36D92115"/>
    <w:rsid w:val="3897206C"/>
    <w:rsid w:val="3B7176BA"/>
    <w:rsid w:val="40CB74D4"/>
    <w:rsid w:val="41201061"/>
    <w:rsid w:val="422C3774"/>
    <w:rsid w:val="4307771B"/>
    <w:rsid w:val="43252179"/>
    <w:rsid w:val="43FB7F31"/>
    <w:rsid w:val="461D448B"/>
    <w:rsid w:val="468E4097"/>
    <w:rsid w:val="497C5B59"/>
    <w:rsid w:val="4FE17A31"/>
    <w:rsid w:val="500F3210"/>
    <w:rsid w:val="52052A0A"/>
    <w:rsid w:val="57317DBB"/>
    <w:rsid w:val="57727B09"/>
    <w:rsid w:val="58E134AF"/>
    <w:rsid w:val="5A4E076E"/>
    <w:rsid w:val="5C82434A"/>
    <w:rsid w:val="5D07677C"/>
    <w:rsid w:val="5DFF3B6B"/>
    <w:rsid w:val="60A339CE"/>
    <w:rsid w:val="60B74C75"/>
    <w:rsid w:val="625C19AD"/>
    <w:rsid w:val="62DB16E4"/>
    <w:rsid w:val="64FA2324"/>
    <w:rsid w:val="65CE297E"/>
    <w:rsid w:val="66C04989"/>
    <w:rsid w:val="69745AC4"/>
    <w:rsid w:val="6A38301B"/>
    <w:rsid w:val="6A6C0D78"/>
    <w:rsid w:val="6ACB516E"/>
    <w:rsid w:val="6B8D38AF"/>
    <w:rsid w:val="6C627CF4"/>
    <w:rsid w:val="6CDE53E3"/>
    <w:rsid w:val="6E574A5B"/>
    <w:rsid w:val="6EA10222"/>
    <w:rsid w:val="6F24330F"/>
    <w:rsid w:val="72B043AA"/>
    <w:rsid w:val="72FB079A"/>
    <w:rsid w:val="73B12917"/>
    <w:rsid w:val="74EF0E95"/>
    <w:rsid w:val="756A5647"/>
    <w:rsid w:val="76BC0EE6"/>
    <w:rsid w:val="78F9372E"/>
    <w:rsid w:val="7B121B20"/>
    <w:rsid w:val="7DFC1BF7"/>
    <w:rsid w:val="7E7778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left w:val="none" w:color="auto" w:sz="0" w:space="0"/>
        <w:right w:val="none" w:color="auto" w:sz="0" w:space="0"/>
      </w:pBdr>
      <w:spacing w:line="510" w:lineRule="atLeast"/>
      <w:jc w:val="left"/>
    </w:pPr>
    <w:rPr>
      <w:b/>
      <w:bCs/>
      <w:kern w:val="0"/>
      <w:lang w:val="en-US" w:eastAsia="zh-CN" w:bidi="ar"/>
    </w:rPr>
  </w:style>
  <w:style w:type="character" w:styleId="7">
    <w:name w:val="Strong"/>
    <w:basedOn w:val="6"/>
    <w:qFormat/>
    <w:locked/>
    <w:uiPriority w:val="0"/>
    <w:rPr>
      <w:b/>
    </w:rPr>
  </w:style>
  <w:style w:type="character" w:styleId="8">
    <w:name w:val="page number"/>
    <w:basedOn w:val="6"/>
    <w:qFormat/>
    <w:uiPriority w:val="99"/>
  </w:style>
  <w:style w:type="character" w:styleId="9">
    <w:name w:val="FollowedHyperlink"/>
    <w:basedOn w:val="6"/>
    <w:semiHidden/>
    <w:unhideWhenUsed/>
    <w:qFormat/>
    <w:uiPriority w:val="99"/>
    <w:rPr>
      <w:color w:val="005C81"/>
      <w:u w:val="none"/>
    </w:rPr>
  </w:style>
  <w:style w:type="character" w:styleId="10">
    <w:name w:val="Emphasis"/>
    <w:basedOn w:val="6"/>
    <w:qFormat/>
    <w:locked/>
    <w:uiPriority w:val="0"/>
  </w:style>
  <w:style w:type="character" w:styleId="11">
    <w:name w:val="Hyperlink"/>
    <w:basedOn w:val="6"/>
    <w:semiHidden/>
    <w:unhideWhenUsed/>
    <w:qFormat/>
    <w:uiPriority w:val="99"/>
    <w:rPr>
      <w:color w:val="005C81"/>
      <w:u w:val="none"/>
    </w:rPr>
  </w:style>
  <w:style w:type="character" w:customStyle="1" w:styleId="13">
    <w:name w:val="Header Char"/>
    <w:basedOn w:val="6"/>
    <w:link w:val="4"/>
    <w:semiHidden/>
    <w:qFormat/>
    <w:locked/>
    <w:uiPriority w:val="99"/>
    <w:rPr>
      <w:sz w:val="18"/>
      <w:szCs w:val="18"/>
    </w:rPr>
  </w:style>
  <w:style w:type="character" w:customStyle="1" w:styleId="14">
    <w:name w:val="Footer Char"/>
    <w:basedOn w:val="6"/>
    <w:link w:val="3"/>
    <w:semiHidden/>
    <w:qFormat/>
    <w:locked/>
    <w:uiPriority w:val="99"/>
    <w:rPr>
      <w:sz w:val="18"/>
      <w:szCs w:val="18"/>
    </w:rPr>
  </w:style>
  <w:style w:type="character" w:customStyle="1" w:styleId="15">
    <w:name w:val="font51"/>
    <w:qFormat/>
    <w:uiPriority w:val="0"/>
    <w:rPr>
      <w:rFonts w:hint="default" w:ascii="Times New Roman" w:hAnsi="Times New Roman" w:cs="Times New Roman"/>
      <w:color w:val="000000"/>
      <w:sz w:val="20"/>
      <w:szCs w:val="20"/>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21"/>
    <w:qFormat/>
    <w:uiPriority w:val="0"/>
    <w:rPr>
      <w:rFonts w:hint="eastAsia" w:ascii="宋体" w:hAnsi="宋体" w:eastAsia="宋体"/>
      <w:color w:val="000000"/>
      <w:sz w:val="20"/>
      <w:szCs w:val="20"/>
      <w:u w:val="none"/>
    </w:rPr>
  </w:style>
  <w:style w:type="character" w:customStyle="1" w:styleId="18">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73</Pages>
  <Words>119788</Words>
  <Characters>121531</Characters>
  <Lines>0</Lines>
  <Paragraphs>0</Paragraphs>
  <TotalTime>6</TotalTime>
  <ScaleCrop>false</ScaleCrop>
  <LinksUpToDate>false</LinksUpToDate>
  <CharactersWithSpaces>121969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2022-02-09T03:51:00Z</dcterms:created>
  <dc:creator>Administrator</dc:creator>
  <cp:lastModifiedBy>周洁</cp:lastModifiedBy>
  <dcterms:modified xsi:type="dcterms:W3CDTF">2023-01-19T07:53:04Z</dcterms:modified>
  <dc:title>附件1-1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B83B01FADAEC4225BCE65D3F9D1FE12B</vt:lpwstr>
  </property>
</Properties>
</file>