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i w:val="0"/>
          <w:color w:val="000000"/>
          <w:kern w:val="0"/>
          <w:sz w:val="32"/>
          <w:szCs w:val="32"/>
          <w:u w:val="none"/>
          <w:lang w:val="en-US" w:eastAsia="zh-CN" w:bidi="ar"/>
        </w:rPr>
      </w:pPr>
      <w:bookmarkStart w:id="0" w:name="_GoBack"/>
      <w:bookmarkEnd w:id="0"/>
      <w:r>
        <w:rPr>
          <w:rFonts w:hint="eastAsia" w:ascii="黑体" w:hAnsi="宋体" w:eastAsia="黑体" w:cs="黑体"/>
          <w:i w:val="0"/>
          <w:color w:val="000000"/>
          <w:kern w:val="0"/>
          <w:sz w:val="32"/>
          <w:szCs w:val="32"/>
          <w:u w:val="none"/>
          <w:lang w:val="en-US" w:eastAsia="zh-CN" w:bidi="ar"/>
        </w:rPr>
        <w:t>附件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cs="黑体"/>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2022年《政府工作报告》目标任务分解表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p>
    <w:tbl>
      <w:tblPr>
        <w:tblStyle w:val="10"/>
        <w:tblW w:w="15861"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64"/>
        <w:gridCol w:w="1455"/>
        <w:gridCol w:w="6047"/>
        <w:gridCol w:w="1440"/>
        <w:gridCol w:w="2564"/>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blHeader/>
        </w:trPr>
        <w:tc>
          <w:tcPr>
            <w:tcW w:w="753" w:type="dxa"/>
            <w:vAlign w:val="center"/>
          </w:tcPr>
          <w:p>
            <w:pPr>
              <w:keepNext w:val="0"/>
              <w:keepLines w:val="0"/>
              <w:widowControl/>
              <w:suppressLineNumbers w:val="0"/>
              <w:jc w:val="center"/>
              <w:textAlignment w:val="center"/>
              <w:rPr>
                <w:rFonts w:hint="eastAsia" w:ascii="黑体" w:hAnsi="宋体" w:eastAsia="黑体" w:cs="黑体"/>
                <w:i w:val="0"/>
                <w:color w:val="000000"/>
                <w:kern w:val="2"/>
                <w:sz w:val="22"/>
                <w:szCs w:val="22"/>
                <w:u w:val="none"/>
                <w:lang w:val="en-US" w:eastAsia="zh-CN" w:bidi="ar-SA"/>
              </w:rPr>
            </w:pPr>
            <w:r>
              <w:rPr>
                <w:rFonts w:hint="eastAsia" w:ascii="黑体" w:hAnsi="宋体" w:eastAsia="黑体" w:cs="黑体"/>
                <w:i w:val="0"/>
                <w:color w:val="000000"/>
                <w:kern w:val="0"/>
                <w:sz w:val="22"/>
                <w:szCs w:val="22"/>
                <w:u w:val="none"/>
                <w:lang w:val="en-US" w:eastAsia="zh-CN" w:bidi="ar"/>
              </w:rPr>
              <w:t>序号</w:t>
            </w:r>
          </w:p>
        </w:tc>
        <w:tc>
          <w:tcPr>
            <w:tcW w:w="1164" w:type="dxa"/>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类别</w:t>
            </w:r>
          </w:p>
        </w:tc>
        <w:tc>
          <w:tcPr>
            <w:tcW w:w="1455" w:type="dxa"/>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工作内容</w:t>
            </w:r>
          </w:p>
        </w:tc>
        <w:tc>
          <w:tcPr>
            <w:tcW w:w="6047" w:type="dxa"/>
            <w:vAlign w:val="center"/>
          </w:tcPr>
          <w:p>
            <w:pPr>
              <w:keepNext w:val="0"/>
              <w:keepLines w:val="0"/>
              <w:widowControl/>
              <w:suppressLineNumbers w:val="0"/>
              <w:jc w:val="center"/>
              <w:textAlignment w:val="center"/>
              <w:rPr>
                <w:rFonts w:hint="eastAsia" w:ascii="黑体" w:hAnsi="宋体" w:eastAsia="黑体" w:cs="黑体"/>
                <w:i w:val="0"/>
                <w:color w:val="000000"/>
                <w:kern w:val="2"/>
                <w:sz w:val="22"/>
                <w:szCs w:val="22"/>
                <w:u w:val="none"/>
                <w:lang w:val="en-US" w:eastAsia="zh-CN" w:bidi="ar-SA"/>
              </w:rPr>
            </w:pPr>
            <w:r>
              <w:rPr>
                <w:rFonts w:hint="eastAsia" w:ascii="黑体" w:hAnsi="宋体" w:eastAsia="黑体" w:cs="黑体"/>
                <w:i w:val="0"/>
                <w:color w:val="000000"/>
                <w:kern w:val="0"/>
                <w:sz w:val="22"/>
                <w:szCs w:val="22"/>
                <w:u w:val="none"/>
                <w:lang w:val="en-US" w:eastAsia="zh-CN" w:bidi="ar"/>
              </w:rPr>
              <w:t>目标任务</w:t>
            </w:r>
          </w:p>
        </w:tc>
        <w:tc>
          <w:tcPr>
            <w:tcW w:w="1440" w:type="dxa"/>
            <w:vAlign w:val="center"/>
          </w:tcPr>
          <w:p>
            <w:pPr>
              <w:keepNext w:val="0"/>
              <w:keepLines w:val="0"/>
              <w:widowControl/>
              <w:suppressLineNumbers w:val="0"/>
              <w:jc w:val="center"/>
              <w:textAlignment w:val="center"/>
              <w:rPr>
                <w:rFonts w:hint="eastAsia" w:ascii="黑体" w:hAnsi="宋体" w:eastAsia="黑体" w:cs="黑体"/>
                <w:i w:val="0"/>
                <w:color w:val="000000"/>
                <w:kern w:val="2"/>
                <w:sz w:val="22"/>
                <w:szCs w:val="22"/>
                <w:u w:val="none"/>
                <w:lang w:val="en-US" w:eastAsia="zh-CN" w:bidi="ar-SA"/>
              </w:rPr>
            </w:pPr>
            <w:r>
              <w:rPr>
                <w:rFonts w:hint="eastAsia" w:ascii="黑体" w:hAnsi="宋体" w:eastAsia="黑体" w:cs="黑体"/>
                <w:i w:val="0"/>
                <w:color w:val="000000"/>
                <w:kern w:val="0"/>
                <w:sz w:val="22"/>
                <w:szCs w:val="22"/>
                <w:u w:val="none"/>
                <w:lang w:val="en-US" w:eastAsia="zh-CN" w:bidi="ar"/>
              </w:rPr>
              <w:t>分管县领导</w:t>
            </w:r>
          </w:p>
        </w:tc>
        <w:tc>
          <w:tcPr>
            <w:tcW w:w="2564" w:type="dxa"/>
            <w:vAlign w:val="center"/>
          </w:tcPr>
          <w:p>
            <w:pPr>
              <w:keepNext w:val="0"/>
              <w:keepLines w:val="0"/>
              <w:widowControl/>
              <w:suppressLineNumbers w:val="0"/>
              <w:jc w:val="center"/>
              <w:textAlignment w:val="center"/>
              <w:rPr>
                <w:rFonts w:hint="eastAsia" w:ascii="黑体" w:hAnsi="宋体" w:eastAsia="黑体" w:cs="黑体"/>
                <w:i w:val="0"/>
                <w:color w:val="000000"/>
                <w:kern w:val="2"/>
                <w:sz w:val="22"/>
                <w:szCs w:val="22"/>
                <w:u w:val="none"/>
                <w:lang w:val="en-US" w:eastAsia="zh-CN" w:bidi="ar-SA"/>
              </w:rPr>
            </w:pPr>
            <w:r>
              <w:rPr>
                <w:rFonts w:hint="eastAsia" w:ascii="黑体" w:hAnsi="宋体" w:eastAsia="黑体" w:cs="黑体"/>
                <w:i w:val="0"/>
                <w:color w:val="000000"/>
                <w:kern w:val="0"/>
                <w:sz w:val="22"/>
                <w:szCs w:val="22"/>
                <w:u w:val="none"/>
                <w:lang w:val="en-US" w:eastAsia="zh-CN" w:bidi="ar"/>
              </w:rPr>
              <w:t>牵头单位</w:t>
            </w:r>
          </w:p>
        </w:tc>
        <w:tc>
          <w:tcPr>
            <w:tcW w:w="2438" w:type="dxa"/>
            <w:vAlign w:val="center"/>
          </w:tcPr>
          <w:p>
            <w:pPr>
              <w:keepNext w:val="0"/>
              <w:keepLines w:val="0"/>
              <w:widowControl/>
              <w:suppressLineNumbers w:val="0"/>
              <w:jc w:val="center"/>
              <w:textAlignment w:val="center"/>
              <w:rPr>
                <w:rFonts w:hint="eastAsia" w:ascii="黑体" w:hAnsi="宋体" w:eastAsia="黑体" w:cs="黑体"/>
                <w:i w:val="0"/>
                <w:color w:val="000000"/>
                <w:kern w:val="2"/>
                <w:sz w:val="22"/>
                <w:szCs w:val="22"/>
                <w:u w:val="none"/>
                <w:lang w:val="en-US" w:eastAsia="zh-CN" w:bidi="ar-SA"/>
              </w:rPr>
            </w:pPr>
            <w:r>
              <w:rPr>
                <w:rFonts w:hint="eastAsia" w:ascii="黑体" w:hAnsi="宋体" w:eastAsia="黑体" w:cs="黑体"/>
                <w:i w:val="0"/>
                <w:color w:val="000000"/>
                <w:kern w:val="0"/>
                <w:sz w:val="22"/>
                <w:szCs w:val="22"/>
                <w:u w:val="none"/>
                <w:lang w:val="en-US" w:eastAsia="zh-CN" w:bidi="ar"/>
              </w:rPr>
              <w:t>相关责任单位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经济指标</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经济社会</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发展年度</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预期目标</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地区生产总值增长7.5%以上。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县发展改革局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一般公共预算收入增长3%。</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县财政局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固定资产投资增长10%。</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县发展改革局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社会消费品零售总额增长10%。</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城镇居民和农村居民人均可支配收入分别增长7%、9%。</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兴安县调查队</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（数据提供单位）</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宋体" w:hAnsi="宋体" w:eastAsia="宋体" w:cs="宋体"/>
                <w:b/>
                <w:bCs/>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生态保护</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助推大气</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质量提升</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建立健全重污染天气响应机制，进一步加强对工业废气、扬尘污染、燃煤锅炉、露天垃圾焚烧、烟花爆竹燃放等污染监管防治力度，确保全年空气环境质量优良率达95%以上。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兴安生态环境局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县直有关单位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严格落实施工场地“9个100%”防尘措施。</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坚持每日降尘洒水和道路清洗，加强渣土运输等车辆管理，严厉查处“滴撒漏”行为。</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生态保护</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加强水资</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源管理</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纵深推进河长制、湖长制工作，加强213名三级河长的责任落实。加大139条河道的巡查力度，有效开展河道“清四乱”专项整治行动，强力打击非法采砂行为。</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县直有关单位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强化水土保持监督检查，完成“天地一体化”信息录入及区域监管系统信息应用。</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持续加强漓江流域、湘江流域生态环境保护，落实最严格水资源管理制度，规范饮用水水源地保护工作，严厉打击饮用水水源地保护区内破坏环境违法行为。</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兴安生态环境局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县直有关单位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强化森林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资源保护</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全力推进林长制工作，抓好林业有害生物防治检疫工作，持续加强森林资源管理。</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县林业局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启动“国家森林城市”“自治区林下经济示范县”创建工作。推广种植竹灵芝、六垌茶、金毛狗脊等林下经济作物，力争林下经济发展面积达88万亩、实现产值13.5亿元。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县林业局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依法打击涉林违法犯罪行为，维护17.9万公顷森林资源安全，确保全县森林覆盖率达76.53%以上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县林业局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15</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项目建设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加紧项目</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谋划</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注重招大引强选优，力争引进1000万元以上项目15个、亿元以上项目5个。</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县投资促进局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加强谋划“双百双新”产业项目，从工业、交通、文旅、教育、水利、基础设施、生态环保、社会民生等多个领域，以“1+N”模式储备政府性投资重中之重项目12个、一般项目47个、县级重大项目135个。</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县发展改革局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17</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项目建设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加大项目</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深入实施扩大有效投资三年攻坚行动暨重大项目建设三年行动计划，推进“重大项目集中开竣工攻坚行动”，全县计划统筹推进重大项目139个，年度计划投资83.57亿元，其中汽车部件产业园（二期）基础设施项目、上桂峡水库扩容工程、中国兴安新长征文化园项目、中国健康好乡村旅游康养项目等4个自治区层面统筹推进重大项目年度计划投资4.2亿元，猫儿山景区提质升级项目等59个市级层面统筹推进重大项目年度计划投资73.51亿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县发展改革局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（重大办）</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各项目建设指挥部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加快灵渠大道（三期）、华江瑶族乡旅游公路（一期）等项目建设，推动爱民路延长线、体育馆六街延伸段、花荷路延伸段、东绕路一期（进站路延长线、湘江三桥）等项目尽早开工。</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县发展改革局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（重大办）</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有关项目建设指挥部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推进棚户区改造、老旧小区改造以及双女井溪防洪排涝工程等一批项目建设，提升县城路网、管网、公共交通基础设施和绿化美化亮化效果，全力推进城市更新。</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有关项目建设指挥部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加紧湘江治理工程（县城段）、上桂峡水库扩容工程、上桂峡灌区续建配套与节水改造等项目建设，继续推进水环境综合治理、防洪治理等项目实施。</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有关项目建设指挥部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强力推进殿堂二期、严关三期、界首三期等一批风电项目建设，持续构建清洁能源建设体系。</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邓健君</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县发展改革局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有关项目建设指挥部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加快实施五个乡镇污水处理PPP项目、城区雨污管网改造、县城老旧小区垃圾分类配套设施等项目建设，进一步改善城乡居民生活环境。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县直有关单位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23</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项目建设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加强项目</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保障</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坚持“环境为本”，持续优化营商环境，开展“营商环境提升年”行动，力争各类审批事项提速30%。进一步提高服务意识和服务水平，切实做好政务服务、土地供应、金融服务、用工用水用电、社会秩序维护等要素保障，让客商引得来、留得住、发展得好。</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县发展改革局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县直有关单位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力争完成新增建设用地报批1000亩以上，供地2500亩以上；完成耕地潜力开垦5000亩以上，切实保障建设用地指标。</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县自然资源局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深化“放管服”改革，全面落实“简易办”“跨省通办”“并联审批”要求，推动政务服务提质增效，不断构建简易、快捷、便民、公开的政务服务新模式。</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县政管办</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县直有关单位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26</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工业振兴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完善工作</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机制</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坚持党政主要领导服务工业企业接待日、县四家班子领导联系重点企业等制度。</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jc w:val="center"/>
              <w:rPr>
                <w:rFonts w:hint="eastAsia"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坚持县工业振兴办周例会制度，充分调动“一办六班”和“一办五组”积极性。</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县工业振兴办</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对职能部门服务企业实行责任考核机制，做到月通报、季评比、年奖惩，进一步提升主动服务、上门服务、精准服务的能力和水平，为企业发展营造良好环境。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县工业振兴办</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加大投入</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力度</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力争全年工业投入24.5亿元、同比增长21%。其中，技改投入10.5亿元、同比增长20%，园区基础设施建设投入2.3亿元、同比增长125%。</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县工信商贸局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县工业园区管理中心</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收储土地1300亩、同比增长4%，建设标准厂房15万平方米、同比增长43%。</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县工业园区管理中心</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31</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工业振兴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加大投入</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力度</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加快工业招商中心建设。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县工业园区管理中心</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32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加快打造“1+6”园区模式，推动特色专业园区发展。</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县工业园区管理中心</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33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加快电力装备产业园规划建设，力争引进企业5—8家。加大汽车部件产业园建设力度，积极开展产业招商，特别是注重引进“头部企业”，力争新引进企业10家以上。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县投资促进局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县工业园区管理中心</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做强产业</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集群</w:t>
            </w: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推动风电项目建设，加快实施“风、光、水、储一体化”项目，新增16万千瓦装机容量，力争10月底前并网发电，实现产值同比增长4%。</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加快海螺水泥扩能技改，力争10月底前投产，新增产能9万吨，实现产值同比增长3%。</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推进碳酸钙科技产业园入驻企业运营，力争4家企业上规入统，实现产值1亿元。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加快推动汽车部件产业园（一期）已投产企业正常生产，力争3家企业上规入统，实现产值1亿元。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加快汽车部件产业园（二期）建设，力争引进企业15家、年内投产9家。</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县工业园区管理中心</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县投资促进局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积极培育优质企业，力争全县规模工业企业达34家，规模工业产值达48.5亿元、同比增长15%，规模工业增加值达17亿元、同比增长8%。</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县工信商贸局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1"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40</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乡村振兴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扎实推动</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共同富裕</w:t>
            </w: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严格落实“四个不摘”要求，实行县乡村三级网格管理，继续加强对28个脱贫村、1.78万脱贫人口的跟踪帮扶。健全防止返贫致贫监测和帮扶机制，加强产业发展、小额信贷贴息、公益岗位补助、“雨露计划”补助等政策扶持力度。采取扶贫车间、以工代赈、生产奖补、交通补助等方式，支持脱贫劳动力稳定就业。</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县乡村振兴局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继续盘活壮大村级集体经济。力争打造1—2个乡村建设示范点、1—2个特色产业项目，确保上级衔接资金55%以上用于产业项目发展。</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县委组织部</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县乡村振兴局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持续推进</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农业产业化</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力争一产增加值同比增长7%以上，农林牧渔总产值同比增长6.2%以上。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坚持最严格的耕地保护制度，落实“田长制”，防止耕地“非农化”“非粮化”，推进“退果还粮”，确保粮食种植面积47万亩以上、年产量18万吨以上。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升级发展葡萄、柑橘、玉米、银杏、毛竹、生猪、畜禽等传统产业，培育壮大食用菌、猕猴桃、罗汉果、百香果、草莓等新兴产业，力争水果改扩种面积8000亩以上，葡萄、柑橘种植面积分别保持在14.5万亩和18万亩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建立健全柑橘黄龙病、葡萄根瘤蚜等农作物病虫害防控和松材线虫、毛竹蝗虫等森林资源有害生物防治的长效机制。</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县林业局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推进澳洲龙虾养殖、溶江果蔬加工基地等项目建设。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47</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乡村振兴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持续推进</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农业产业化</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继续实施“铁桶计划”，恢复生猪产业发展，巩固“国家生猪调出大县”工作成果，力争生猪出栏55万头。</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实施现代农业产业园新能源一体综合开发项目，推动陆基水产生态循环养殖模式与农（渔）光伏新能源有机结合。</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界首镇人民政府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积极推进</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农业现代化</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spacing w:val="0"/>
                <w:kern w:val="0"/>
                <w:sz w:val="22"/>
                <w:szCs w:val="22"/>
                <w:u w:val="none"/>
                <w:lang w:val="en-US" w:eastAsia="zh-CN" w:bidi="ar"/>
              </w:rPr>
              <w:t>继续加大现代特色农业（核心）示范区、田园综合体的创建力度，积极争取国家级现代农业产业园和自治区级农产品优势区项目。</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继续落实科技特派员工作，为推动乡村振兴提供强有力的科技支撑。</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县科技局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推进富硒米等“三品一标”认证工作，完成“华江六垌茶”国家地理标志认证，做好兴安农产品公用品牌建设工作。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积极推进</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农业现代化</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推行“小块并大块”高标准农田建设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753"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推进农机社会化服务，培育壮大全新农机等专业合作社，着力提升水稻等主要作物全程机械化水平，力争耕种收综合机械化水平达74.3%，其中水稻耕种收综合机械化水平达85%。</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县农机服务中心</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753"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加大设施农业推广力度，重点抓好葡萄、西瓜、草莓等大棚建设和滴灌安装，推广水肥一体化技术2万亩以上。加大生猪养殖场改（扩）建力度，提高设施设备配置水平，力争规模生猪养殖机械化率达40%以上。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54</w:t>
            </w:r>
          </w:p>
        </w:tc>
        <w:tc>
          <w:tcPr>
            <w:tcW w:w="1164"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乡村振兴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不断完善农业基础设施</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向上争取资金完成A类河道治理3处，新建护岸6公里以上。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推进主要支流（湘江）治理项目建设。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对年久失修的水利设施进行排查并逐步加以修缮，切实保障设施功能。</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加大五里峡、金沙冲、牛栏冲等水库除险加固力度。加紧实施溶江镇富江村、崔家乡田心村、漠川乡保合村等8处水毁修复工程。</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2"/>
                <w:sz w:val="22"/>
                <w:szCs w:val="22"/>
                <w:u w:val="none"/>
                <w:lang w:val="en-US" w:eastAsia="zh-CN" w:bidi="ar-SA"/>
              </w:rPr>
            </w:pPr>
            <w:r>
              <w:rPr>
                <w:rFonts w:hint="eastAsia" w:ascii="仿宋_GB2312" w:hAnsi="宋体" w:eastAsia="仿宋_GB2312" w:cs="仿宋_GB2312"/>
                <w:i w:val="0"/>
                <w:color w:val="auto"/>
                <w:kern w:val="0"/>
                <w:sz w:val="22"/>
                <w:szCs w:val="22"/>
                <w:u w:val="none"/>
                <w:lang w:val="en-US" w:eastAsia="zh-CN" w:bidi="ar"/>
              </w:rPr>
              <w:t>力争综合整治渠道84公里以上。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2"/>
                <w:szCs w:val="22"/>
                <w:u w:val="none"/>
                <w:lang w:val="en-US" w:eastAsia="zh-CN" w:bidi="ar-SA"/>
              </w:rPr>
            </w:pPr>
            <w:r>
              <w:rPr>
                <w:rFonts w:hint="eastAsia" w:ascii="仿宋_GB2312" w:hAnsi="宋体" w:eastAsia="仿宋_GB2312" w:cs="仿宋_GB2312"/>
                <w:i w:val="0"/>
                <w:color w:val="auto"/>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2"/>
                <w:szCs w:val="22"/>
                <w:u w:val="none"/>
                <w:lang w:val="en-US" w:eastAsia="zh-CN" w:bidi="ar-SA"/>
              </w:rPr>
            </w:pPr>
            <w:r>
              <w:rPr>
                <w:rFonts w:hint="eastAsia" w:ascii="仿宋_GB2312" w:hAnsi="宋体" w:eastAsia="仿宋_GB2312" w:cs="仿宋_GB2312"/>
                <w:i w:val="0"/>
                <w:color w:val="auto"/>
                <w:kern w:val="0"/>
                <w:sz w:val="22"/>
                <w:szCs w:val="22"/>
                <w:u w:val="none"/>
                <w:lang w:val="en-US" w:eastAsia="zh-CN" w:bidi="ar"/>
              </w:rPr>
              <w:t>县农业农村局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59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实施湘漓、严关全域土地综合整治项目，新增耕地350亩以上。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县自然资源局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60</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旅游振兴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加快推动全域旅游提质</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主动融入桂林世界级旅游城市建设，加快历史文化、红色文化、山水文化旅游发展，形成全域旅游新格局。力争全年旅游接待人数达906万人次以上、同比增长10%以上，旅游收入达101亿元以上、同比增长10%以上。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不断提升旅游景区内涵品质和核心旅游资源升级发展，联合周边县区推动长征国家文化公园创建国家5A级景区，启动灵渠、猫儿山创建国家5A级旅游景区规划编制。</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持续推进桂北老家、灵渠人家、“华江九寨”乡村旅游品牌创建工作，推动榜上、张家崎、山湾、秦家大院、马头山、高寨、桐子坪等乡村旅游点提质增效，配套建设旅游研学营地，力争打造一个全国乡村旅游重点村或一个星级乡村旅游区。</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63</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旅游振兴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加快推动全域旅游提质</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加快中国健康好乡村旅游康养项目建设，积极发展康养度假、健康养老等健康旅游产业。</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创新宣传手段，拓宽宣传载体，加强面向湖南、贵州、粤港澳大湾区的推介营销，塑造“古韵灵渠·红色兴安”旅游新形象。</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高位推动灵渠保护利用</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加快组建灵渠博物院，持续推动灵渠申报世界文化遗产、国家水利遗产，进一步做好保护与利用提升工作。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县水利局</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县申遗办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做好《灵渠在统一中国、边疆稳定、促进中华民族大团结、大融合中的地位和作用》等4个课题研究，深入挖掘灵渠历史文化内涵。</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灵渠文旅投公司</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加紧编制《灵渠保护与利用提升规划》，举办灵渠论坛，开设灵渠大讲堂，推动《灵渠文化读本》进校园。</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灵渠文旅投公司</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推动灵渠展示中心（兴安博物馆）争创国家二级博物馆和全国民族团结进步教育基地。</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灵渠博物院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69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启动灵渠水街旅游休闲街区创建工作。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灵渠文旅投公司</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大力构建花样北渠漂流带、文化南渠体验带和灵渠综合服务区、秦城水街、打渔文化体验区的“大灵渠”格局，形成灵渠渠首+南陡村、秦城水街、打渔村三足鼎立发展态势，更好实现“旅游+文化+农业”的深度融合。</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灵渠控股集团公司</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加紧世纪冰川景区规划编制，尽快启动项目建设，力争10月底前投入试运营。</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灵渠文旅投公司</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72</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旅游振兴</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大力推动红色旅游发展</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抓好长征文化园（二期）、界首渡江遗址公园（二期）、湘江战役旧址陈列展示（一期）等重点项目建设。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界首镇人民政府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启动翻越老山界旅游配套基础设施项目前期工作，进一步推动红色旅游和红色研学培训产业发展。</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兴安湘江战役文化保护传承中心</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继续加强红色文化讲解员培训，推进红领巾讲解员志愿服务。创新宣教方式，精心组织宣讲队伍走进区内大专院校、中小学校、社区、企业、部队等，大力弘扬长征精神，传承湘江战役红色文化。</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兴安湘江战役文化保护传承中心</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积极争取将湘江战役、灵渠等为代表的全国重点文物保护单位纳入桂林市创建国家文物保护利用示范区范畴。</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灵渠博物院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积极推动旅游服务升级</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完善“一部手机游兴安”智慧旅游公共服务体系，加快“一键游兴安”项目建设。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进一步强化旅游公路、旅游集散中心、旅游厕所等配套服务设施建设。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78</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城乡建设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提升宜居</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县城建设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全面开展“全国文明城市”和“国家卫生县城”创建工作。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卢宇春</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县创城办</w:t>
            </w:r>
          </w:p>
          <w:p>
            <w:pPr>
              <w:keepNext w:val="0"/>
              <w:keepLines w:val="0"/>
              <w:widowControl/>
              <w:suppressLineNumbers w:val="0"/>
              <w:jc w:val="center"/>
              <w:textAlignment w:val="center"/>
              <w:rPr>
                <w:rFonts w:hint="eastAsia" w:ascii="仿宋_GB2312" w:hAnsi="宋体" w:eastAsia="仿宋_GB2312" w:cs="仿宋_GB2312"/>
                <w:i w:val="0"/>
                <w:color w:val="FF0000"/>
                <w:kern w:val="2"/>
                <w:sz w:val="22"/>
                <w:szCs w:val="22"/>
                <w:u w:val="none"/>
                <w:lang w:val="en-US" w:eastAsia="zh-CN" w:bidi="ar-SA"/>
              </w:rPr>
            </w:pPr>
            <w:r>
              <w:rPr>
                <w:rStyle w:val="11"/>
                <w:rFonts w:hAnsi="宋体"/>
                <w:sz w:val="22"/>
                <w:szCs w:val="22"/>
                <w:lang w:val="en-US" w:eastAsia="zh-CN" w:bidi="ar"/>
              </w:rPr>
              <w:t>县卫生健康局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79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做好“全国历史文化名城”申报工作。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启动《兴安县地名志》编纂工作。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县民政局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81</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城乡建设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提升宜居</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县城建设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加大市容市貌精细化管理，推动绿化美化亮化提升改造，建设宜居宜业宜游城市。</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县住房城乡建设局</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县交警大队</w:t>
            </w:r>
          </w:p>
          <w:p>
            <w:pPr>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县综合执法大队</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53"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加紧完成《国土空间总体规划》编制。</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县自然资源局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753"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加快实施城市更新，强力推进城市更新一期项目（灵渠片区）建设。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实施500套棚户区改造，建设200套保障性租赁房，做好城南、城北安置点规划建设。实施原经贸局小区、电信公司小区等19个老旧小区改造，逐步疏解提升老城区。抓好500套公租房建设，切实提升住房保障力度。</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加快推进灵渠水厂建设，有力保障城镇居民用水供应。</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着力完善城南新区基础设施，加快铜锣湾城市综合体建设及彰泰学府、公园悦府、金龙学府等房地产开发项目建设；大力拓展城北新区，加快滨江花苑、污水处理厂搬迁等项目建设。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县直有关单位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积极推进污水处理设施提标改造项目，加快实施县城排水防涝设施建设。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进一步深化环卫市场化改革，加大生活垃圾转运站建设，力争完成城市综合管理服务平台建设。</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优化县城公交线路，新增1—2条公交线路。</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县交通运输局</w:t>
            </w:r>
          </w:p>
        </w:tc>
        <w:tc>
          <w:tcPr>
            <w:tcW w:w="24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推进日月湖变电站项目建设。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兴安供电局</w:t>
            </w:r>
          </w:p>
        </w:tc>
        <w:tc>
          <w:tcPr>
            <w:tcW w:w="24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90</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城乡建设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加快特色</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集镇建设</w:t>
            </w: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高标准完成溶江镇新型城镇化示范乡镇建设。</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溶江镇党委、政府</w:t>
            </w:r>
          </w:p>
        </w:tc>
        <w:tc>
          <w:tcPr>
            <w:tcW w:w="24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县直有关单位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推动兴安镇、界首镇、溶江镇打造商贸重镇，湘漓镇、高尚镇、严关镇打造生态农业强镇，华江瑶族乡打造旅游康养小镇，崔家乡、漠川乡、白石乡打造乡村旅游名镇，不断增强集镇对乡村振兴的辐射带动作用。</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刘绍千</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陈红华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卢宇春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推进美丽</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乡村建设</w:t>
            </w: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保护传统村落和乡村特色风貌，加强榜上村、东村、青山湾村等国家级传统村落的保护工作。</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有关乡镇人民政府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抓好农村违法占用耕地及违建别墅摸排查处，做好基本农田优化调整、自然资源生态修复等工作。</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县自然资源局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继续推进农村改厕，不断完善农村生活垃圾收运体系，力争覆盖率达90%。</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陈红华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县农业农村局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推进“四好农村路”建设，完成自然村进村道路硬化50公里、农村公路路面提升改造95公里、危桥改造14座，进一步改善农村道路通行条件。</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县交通运输局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96</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财税金融</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加大财政</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资源统筹</w:t>
            </w: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科学研判财源趋势，出台精细化管理举措，强化收、支、管、监，涵养重点行业财源，确保应收尽收和均衡入库，推进财税工作科学化及可持续发展。坚持财税领导小组联席会议月例会制度，精准制定财政工作月度计划。</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县财政局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县税务局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积极争取各类项目补助资金、转移支付及政府债券，力争全年争取项目补助资金20.8亿元、政府债券3亿元。</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县财政局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强化预算约束，优化支出结构，持续压减一般性支出，兜牢“三保”底线，确保民生支出比重达80%以上。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县财政局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99</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财税金融</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深化国有</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企业改革</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深入贯彻落实《国企改革三年行动方案（2020—2022年）》，深化与中国财政科学研究院PPP研究所合作，研究创新政府投融资规划方法，大力推动科研成果运用。</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县财政局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以整合资源、资产、资本、资金为抓手，持续推进广西灵渠控股集团有限公司文化旅游、园区运营、城市建设三大板块业务发展，优化国有企业融资结构，提高盈利能力和市场竞争力，力争新增市场融资10亿元。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邓健君</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县财政局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灵渠控股集团公司</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加强国企监管，完善国企重大事项报告、国有资本经营预算管理、国有资产信息公开、债务风险预警等制度体系。</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县财政局</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提升金融</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服务质量</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深化金融改革改制，优化信贷结构，激发市场活力，力争全年完成存贷款余额404亿元以上、同比增长8%以上。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ind w:left="220" w:leftChars="0" w:hanging="220" w:hangingChars="10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县金融办</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持续推进农村合作金融机构改革改制。</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兴安农村合作银行</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用好、用足、用活财政金融政策，进一步发挥政府性融资担保机构作用，依法有效降低企业融资门槛和成本，促进银企深度融合，争取桂林市小微企业担保有限公司为我县200家以上企业提供融资担保额度2.5亿元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县金融办</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县工信商贸局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持续加大宣传和推广，完成“桂惠贷”15亿元以上、同比增长24%以上。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县金融办</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县工信商贸局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强化对非法金融活动的监管和打击，着力防范化解地方金融风险。</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县金融办</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107</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民生保障</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聚力提升</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文化教育</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进一步完善教育督导体制，强化校园安全管理，严格落实“双减”要求，提升学前教育优质普惠发展水平，推动义务教育优质均衡发展，提高高中教育教学水平，促进职业教育发展，办好人民满意教育。</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108</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力争完成6所乡镇中心幼儿园教学综合楼主体工程建设，加快县第四小学、县第五小学建设，启动县第四中学规划建设。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推进“全国未成年人保护示范县”创建工作。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县民政局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启动集综合体育场馆、篮球场、足球场、气排球场等于一体的体育公园建设，进一步推动全民健身。</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县发展改革局</w:t>
            </w:r>
          </w:p>
        </w:tc>
        <w:tc>
          <w:tcPr>
            <w:tcW w:w="2438" w:type="dxa"/>
            <w:vAlign w:val="center"/>
          </w:tcPr>
          <w:p>
            <w:pPr>
              <w:jc w:val="center"/>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聚力强化</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社会保障</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坚持常态化疫情防控，压紧压实“四方责任”，抓细抓实联防联控措施，继续推进疫苗接种，持续巩固疫情防控工作成果。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县疫情防控指挥部</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办公室</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县卫生健康局</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加快医疗、医保、医药联动改革，加强公共卫生体系建设，加快县中医医院迁建进度，推动“健康兴安”建设。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县卫生健康局</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实施更加积极的就业政策，建立人力资源储备库，探索开办培训学校或建立“校企联合”机制，城镇登记失业率控制在4%以内，力争公共实训基地投入使用。</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县人力资源社会保障局</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加强劳动力市场秩序监察，切实做好农民工欠薪治理工作。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县人力资源社会保障局</w:t>
            </w:r>
          </w:p>
        </w:tc>
        <w:tc>
          <w:tcPr>
            <w:tcW w:w="243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稳步推进水库移民安置和后期扶持工作。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县水扶安置中心</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完善养老服务设施建设和养老服务综合监管体系，加快推进健康养老产业园区项目前期工作。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县民政局</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启动城市、乡镇农村公益性公墓建设，推行基本殡葬服务社会化改革。</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县民政局</w:t>
            </w:r>
          </w:p>
        </w:tc>
        <w:tc>
          <w:tcPr>
            <w:tcW w:w="2438" w:type="dxa"/>
            <w:vAlign w:val="center"/>
          </w:tcPr>
          <w:p>
            <w:pPr>
              <w:jc w:val="left"/>
              <w:rPr>
                <w:rFonts w:hint="eastAsia" w:ascii="仿宋_GB2312" w:hAnsi="宋体" w:eastAsia="仿宋_GB2312" w:cs="仿宋_GB2312"/>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118</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民生保障</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聚力完善</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社会治理</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铸牢中华民族共同体意识，争创“全国民族团结进步示范县”。</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2"/>
                <w:sz w:val="22"/>
                <w:szCs w:val="22"/>
                <w:u w:val="none"/>
                <w:lang w:val="en-US" w:eastAsia="zh-CN" w:bidi="ar-SA"/>
              </w:rPr>
              <w:t>县委统战部</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119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巩固拓展政法队伍教育整顿成果，推进雪亮工程（二期）建设，落实“一村一辅警”要求，完善智慧社区矫正平台建设，常态化开展扫黑除恶专项斗争、打击电信网络诈骗、禁毒严打整治，严厉打击各类违法犯罪活动，健全社会矛盾调处机制，坚决防止各类公共安全事故发生，有效巩固“平安兴安”建设成果。</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刘绍千</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县公安局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认真落实安全生产责任制，全力做好防震减灾工作，不断加大消防、道路交通、食品药品、特种设备、燃气、危险化学品等方面的安全监管，切实提高应急管理能力。</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县应急局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扎实做好新时代退役军人工作，推动军民融合深度发展。</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刘绍千</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县退役军人局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122</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政府自身建设</w:t>
            </w: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加强制度化建设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加大政府信息公开力度。</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县政府办公室</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办好人大代表建议和政协委员提案。</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县政府办公室</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加强规范性文件的制定管理，强化重大行政决策合法性审查。</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刘绍千</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县司法局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125</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加强法治化建设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深入实施“八五”普法。</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刘绍千</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县司法局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落实行政机关负责人出庭应诉和法律顾问制度。</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刘绍千</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县司法局</w:t>
            </w:r>
          </w:p>
        </w:tc>
        <w:tc>
          <w:tcPr>
            <w:tcW w:w="243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县直各单位</w:t>
            </w:r>
          </w:p>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整合资源、适度修缮，有效改善全县机关事业单位办公环境。</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汤建国</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spacing w:val="-11"/>
                <w:kern w:val="0"/>
                <w:sz w:val="22"/>
                <w:szCs w:val="22"/>
                <w:u w:val="none"/>
                <w:lang w:val="en-US" w:eastAsia="zh-CN" w:bidi="ar"/>
              </w:rPr>
              <w:t>县机关事务后勤服务中心</w:t>
            </w:r>
          </w:p>
        </w:tc>
        <w:tc>
          <w:tcPr>
            <w:tcW w:w="243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128</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民生实事</w:t>
            </w: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加强农林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作物病虫</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害防治</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健全防治农林作物病虫害长效机制，综合防治葡萄根瘤蚜病3万亩以上，推广种植葡萄根瘤蚜抗虫砧木苗2000亩以上；综合防治柑橘黄龙病18万亩以上，推广种植柑橘无病苗木1000亩以上；防治松材线虫病1万亩以上。</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县林业局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129</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切实改善农村人居环境</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继续推进农村厕所革命，完成厕所改造600座以上。进一步完善农村生活垃圾收运体系，力争行政村覆盖率达90%。</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陈红华</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县城市管理监督局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130</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大力修缮水利基础设施</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加大五里峡、金沙冲、白纸江等水库除险加固力度；加紧实施溶江镇富江村、崔家乡田心村、漠川乡保合村等8处水毁修复工程。</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县水利局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131</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提升基础配套设施，改造老旧小区</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推进灵渠大道（三期）建设，3月底竣工通车；完成原经贸局、电信局小区等19个老旧小区改造；推进1000套公租房建设。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县住房城乡建设局</w:t>
            </w:r>
          </w:p>
        </w:tc>
        <w:tc>
          <w:tcPr>
            <w:tcW w:w="2438" w:type="dxa"/>
            <w:vAlign w:val="bottom"/>
          </w:tcPr>
          <w:p>
            <w:pPr>
              <w:jc w:val="cente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132</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提升公交服务水平，推进“四好农村路”建设</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一步优化县城公交线路，扩大城乡公交覆盖率，新增1—2条公交线路，新能源公交车占比达80%以上；完成自然村进村道路硬化50公里、农村公路路面提升改造9条95公里、危桥改造14座380延米，全面提升农村公路路面质量和通行能力。</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卢宇春</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县交通运输局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133</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做好城乡居民低保、特困人员救助工作。</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低保人员应保尽保，城市低保覆盖率不低于1.8%，农村低保覆盖率不低于4.3%；特困人员应养尽养，为符合条件的特困人员进行自理能力评估，及时申请发放护理费。</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陈红华</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县民政局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134</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提升医疗卫生服务水平</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加强公立医院防治能力提升；加快推进县中医医院迁建工作，完成主体工程建设。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县卫生健康局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135</w:t>
            </w:r>
          </w:p>
        </w:tc>
        <w:tc>
          <w:tcPr>
            <w:tcW w:w="1164" w:type="dxa"/>
            <w:vMerge w:val="restart"/>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民生实事</w:t>
            </w: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完善文化体育公共服务设施</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持续落实图书馆、文化馆、博物馆向社会公众免费开放；启动集综合体育场馆、篮球场、足球场、气排球场等于一体的体育公园建设。</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县文广体旅局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136</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提升教育</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服务水平</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加快县第四小学、县第五小学建设，完成办公综合楼、教学楼、学生宿舍楼、学生食堂等主体工程建设；完成6所乡镇中心幼儿园建设，2022年秋季学期竣工并投入使用。</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c>
          <w:tcPr>
            <w:tcW w:w="2438" w:type="dxa"/>
            <w:vAlign w:val="bottom"/>
          </w:tcPr>
          <w:p>
            <w:pPr>
              <w:jc w:val="cente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137</w:t>
            </w:r>
          </w:p>
        </w:tc>
        <w:tc>
          <w:tcPr>
            <w:tcW w:w="1164" w:type="dxa"/>
            <w:vMerge w:val="continue"/>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全力保障</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食品安全</w:t>
            </w:r>
          </w:p>
        </w:tc>
        <w:tc>
          <w:tcPr>
            <w:tcW w:w="6047"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完成不少于1750批次食品抽检任务，食品检验量达每千人5批次，不合格食品核查处置率达100%；强化学校食堂食品安全风险防控，保障校园食品安全。</w:t>
            </w:r>
          </w:p>
        </w:tc>
        <w:tc>
          <w:tcPr>
            <w:tcW w:w="144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卢宇春</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潘  敏</w:t>
            </w:r>
          </w:p>
        </w:tc>
        <w:tc>
          <w:tcPr>
            <w:tcW w:w="256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县市场监管局</w:t>
            </w:r>
          </w:p>
        </w:tc>
        <w:tc>
          <w:tcPr>
            <w:tcW w:w="2438" w:type="dxa"/>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县教育局</w:t>
            </w:r>
          </w:p>
        </w:tc>
      </w:tr>
    </w:tbl>
    <w:p/>
    <w:sectPr>
      <w:footerReference r:id="rId3" w:type="default"/>
      <w:pgSz w:w="16838" w:h="11906" w:orient="landscape"/>
      <w:pgMar w:top="1587" w:right="1304" w:bottom="1304" w:left="130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zBkYjYwNGEzYTMyY2YwYmFiNjFiZWU5NDUwMmEifQ=="/>
  </w:docVars>
  <w:rsids>
    <w:rsidRoot w:val="2D9E0EAE"/>
    <w:rsid w:val="009F4C1B"/>
    <w:rsid w:val="05B40C49"/>
    <w:rsid w:val="0B220922"/>
    <w:rsid w:val="0BEB6F66"/>
    <w:rsid w:val="0C2D757F"/>
    <w:rsid w:val="0CEA00F0"/>
    <w:rsid w:val="0DEA023A"/>
    <w:rsid w:val="12D70244"/>
    <w:rsid w:val="172B6DB1"/>
    <w:rsid w:val="17DA4A5F"/>
    <w:rsid w:val="1C97248C"/>
    <w:rsid w:val="1CA63E39"/>
    <w:rsid w:val="1E0C6D55"/>
    <w:rsid w:val="1F4E5D32"/>
    <w:rsid w:val="21C047A5"/>
    <w:rsid w:val="23110D9F"/>
    <w:rsid w:val="23B819CC"/>
    <w:rsid w:val="23CB16FF"/>
    <w:rsid w:val="26527EB6"/>
    <w:rsid w:val="26DD0A26"/>
    <w:rsid w:val="27201F60"/>
    <w:rsid w:val="296323DA"/>
    <w:rsid w:val="2C581196"/>
    <w:rsid w:val="2D9E0EAE"/>
    <w:rsid w:val="2EEECDD6"/>
    <w:rsid w:val="2F405952"/>
    <w:rsid w:val="31B5579D"/>
    <w:rsid w:val="31CA3C37"/>
    <w:rsid w:val="33AB6E58"/>
    <w:rsid w:val="35C123FE"/>
    <w:rsid w:val="36B67FED"/>
    <w:rsid w:val="3894610C"/>
    <w:rsid w:val="3DCC459A"/>
    <w:rsid w:val="441C16FE"/>
    <w:rsid w:val="446F2EEC"/>
    <w:rsid w:val="44DA2B45"/>
    <w:rsid w:val="487C41DD"/>
    <w:rsid w:val="48E24C72"/>
    <w:rsid w:val="4C6360CA"/>
    <w:rsid w:val="4D81127C"/>
    <w:rsid w:val="4DB0533F"/>
    <w:rsid w:val="4E6974F8"/>
    <w:rsid w:val="5005073F"/>
    <w:rsid w:val="50F13C7B"/>
    <w:rsid w:val="53285BE5"/>
    <w:rsid w:val="53C36CC0"/>
    <w:rsid w:val="56F12761"/>
    <w:rsid w:val="57EFF453"/>
    <w:rsid w:val="5838665C"/>
    <w:rsid w:val="58B959EF"/>
    <w:rsid w:val="5B0B7D05"/>
    <w:rsid w:val="5C0C1146"/>
    <w:rsid w:val="5D347D3A"/>
    <w:rsid w:val="60EA0710"/>
    <w:rsid w:val="671C433A"/>
    <w:rsid w:val="69643755"/>
    <w:rsid w:val="6BDA2E8B"/>
    <w:rsid w:val="6BEFF12B"/>
    <w:rsid w:val="70741005"/>
    <w:rsid w:val="71867FE1"/>
    <w:rsid w:val="73CFCB5D"/>
    <w:rsid w:val="75A44ED9"/>
    <w:rsid w:val="75BD3052"/>
    <w:rsid w:val="781A14AF"/>
    <w:rsid w:val="783267CC"/>
    <w:rsid w:val="7AAA1FDB"/>
    <w:rsid w:val="7FE30260"/>
    <w:rsid w:val="7FEDF533"/>
    <w:rsid w:val="7FF7EC75"/>
    <w:rsid w:val="B3DB75FF"/>
    <w:rsid w:val="C7FD26CA"/>
    <w:rsid w:val="EF5DD169"/>
    <w:rsid w:val="EFFB7322"/>
    <w:rsid w:val="F86F0799"/>
    <w:rsid w:val="FBBB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99"/>
    <w:pPr>
      <w:spacing w:before="100" w:beforeAutospacing="1" w:after="100" w:afterAutospacing="1"/>
      <w:jc w:val="left"/>
    </w:pPr>
    <w:rPr>
      <w:rFonts w:ascii="宋体" w:hAnsi="宋体" w:cs="宋体"/>
      <w:b/>
      <w:bCs/>
      <w:kern w:val="0"/>
      <w:sz w:val="36"/>
      <w:szCs w:val="36"/>
    </w:rPr>
  </w:style>
  <w:style w:type="paragraph" w:styleId="3">
    <w:name w:val="Document Map"/>
    <w:basedOn w:val="1"/>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51"/>
    <w:basedOn w:val="6"/>
    <w:qFormat/>
    <w:uiPriority w:val="0"/>
    <w:rPr>
      <w:rFonts w:hint="eastAsia" w:ascii="仿宋_GB2312" w:eastAsia="仿宋_GB2312" w:cs="仿宋_GB2312"/>
      <w:color w:val="000000"/>
      <w:sz w:val="20"/>
      <w:szCs w:val="20"/>
      <w:u w:val="none"/>
    </w:rPr>
  </w:style>
  <w:style w:type="paragraph" w:customStyle="1" w:styleId="12">
    <w:name w:val="Char"/>
    <w:basedOn w:val="3"/>
    <w:qFormat/>
    <w:uiPriority w:val="0"/>
    <w:pPr>
      <w:adjustRightInd w:val="0"/>
      <w:spacing w:line="436" w:lineRule="exact"/>
    </w:pPr>
    <w:rPr>
      <w:szCs w:val="20"/>
    </w:rPr>
  </w:style>
  <w:style w:type="character" w:customStyle="1" w:styleId="13">
    <w:name w:val="NormalCharacter"/>
    <w:qFormat/>
    <w:uiPriority w:val="0"/>
    <w:rPr>
      <w:rFonts w:ascii="Calibri" w:hAnsi="Calibri"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兴安县</Company>
  <Pages>19</Pages>
  <Words>10511</Words>
  <Characters>10955</Characters>
  <Lines>0</Lines>
  <Paragraphs>0</Paragraphs>
  <TotalTime>7</TotalTime>
  <ScaleCrop>false</ScaleCrop>
  <LinksUpToDate>false</LinksUpToDate>
  <CharactersWithSpaces>11063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2022-03-03T17:37:00Z</dcterms:created>
  <dc:creator>周洁</dc:creator>
  <cp:lastModifiedBy>周洁</cp:lastModifiedBy>
  <cp:lastPrinted>2022-08-03T08:15:00Z</cp:lastPrinted>
  <dcterms:modified xsi:type="dcterms:W3CDTF">2022-08-30T09:01:06Z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C9D18ECE421F41778F154C667B31EBE0</vt:lpwstr>
  </property>
</Properties>
</file>