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wdp" ContentType="image/vnd.ms-photo"/>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微软雅黑" w:hAnsi="微软雅黑" w:eastAsia="微软雅黑"/>
          <w:bCs/>
          <w:sz w:val="52"/>
          <w:szCs w:val="52"/>
        </w:rPr>
      </w:pPr>
      <w:bookmarkStart w:id="0" w:name="_Hlk527552337"/>
    </w:p>
    <w:p>
      <w:pPr>
        <w:ind w:firstLine="0" w:firstLineChars="0"/>
        <w:rPr>
          <w:rFonts w:ascii="微软雅黑" w:hAnsi="微软雅黑" w:eastAsia="微软雅黑"/>
          <w:bCs/>
          <w:sz w:val="52"/>
          <w:szCs w:val="52"/>
        </w:rPr>
      </w:pPr>
      <w:bookmarkStart w:id="164" w:name="_GoBack"/>
      <w:bookmarkEnd w:id="164"/>
    </w:p>
    <w:p>
      <w:pPr>
        <w:ind w:firstLine="0" w:firstLineChars="0"/>
        <w:rPr>
          <w:rFonts w:ascii="微软雅黑" w:hAnsi="微软雅黑" w:eastAsia="微软雅黑"/>
          <w:bCs/>
          <w:sz w:val="52"/>
          <w:szCs w:val="52"/>
        </w:rPr>
      </w:pPr>
    </w:p>
    <w:p>
      <w:pPr>
        <w:spacing w:line="1000" w:lineRule="exact"/>
        <w:ind w:firstLine="0" w:firstLineChars="0"/>
        <w:jc w:val="center"/>
        <w:rPr>
          <w:rFonts w:ascii="微软雅黑" w:hAnsi="微软雅黑" w:eastAsia="微软雅黑" w:cs="微软雅黑"/>
          <w:b/>
          <w:spacing w:val="45"/>
          <w:sz w:val="52"/>
          <w:szCs w:val="52"/>
        </w:rPr>
      </w:pPr>
      <w:r>
        <w:rPr>
          <w:rFonts w:hint="eastAsia" w:ascii="微软雅黑" w:hAnsi="微软雅黑" w:eastAsia="微软雅黑" w:cs="微软雅黑"/>
          <w:b/>
          <w:spacing w:val="45"/>
          <w:sz w:val="52"/>
          <w:szCs w:val="52"/>
        </w:rPr>
        <w:t>兴安县特色农产品优势区建设规划</w:t>
      </w:r>
    </w:p>
    <w:p>
      <w:pPr>
        <w:spacing w:line="1000" w:lineRule="exact"/>
        <w:ind w:firstLine="0" w:firstLineChars="0"/>
        <w:jc w:val="center"/>
        <w:rPr>
          <w:rFonts w:ascii="微软雅黑" w:hAnsi="微软雅黑" w:eastAsia="微软雅黑" w:cs="微软雅黑"/>
          <w:b/>
          <w:sz w:val="52"/>
          <w:szCs w:val="36"/>
        </w:rPr>
      </w:pPr>
      <w:r>
        <w:rPr>
          <w:rFonts w:hint="eastAsia" w:ascii="微软雅黑" w:hAnsi="微软雅黑" w:eastAsia="微软雅黑" w:cs="微软雅黑"/>
          <w:b/>
          <w:sz w:val="52"/>
          <w:szCs w:val="36"/>
        </w:rPr>
        <w:t>（2019-2022年）</w:t>
      </w:r>
    </w:p>
    <w:p>
      <w:pPr>
        <w:ind w:firstLine="0" w:firstLineChars="0"/>
        <w:jc w:val="center"/>
        <w:rPr>
          <w:rFonts w:ascii="微软雅黑" w:hAnsi="微软雅黑" w:eastAsia="微软雅黑"/>
          <w:bCs/>
          <w:sz w:val="52"/>
          <w:szCs w:val="52"/>
        </w:rPr>
      </w:pPr>
    </w:p>
    <w:p>
      <w:pPr>
        <w:ind w:firstLine="0" w:firstLineChars="0"/>
        <w:jc w:val="center"/>
        <w:rPr>
          <w:rFonts w:ascii="微软雅黑" w:hAnsi="微软雅黑" w:eastAsia="微软雅黑"/>
          <w:bCs/>
          <w:sz w:val="52"/>
          <w:szCs w:val="52"/>
        </w:rPr>
      </w:pPr>
    </w:p>
    <w:p>
      <w:pPr>
        <w:ind w:firstLine="0" w:firstLineChars="0"/>
        <w:jc w:val="center"/>
        <w:rPr>
          <w:rFonts w:ascii="微软雅黑" w:hAnsi="微软雅黑" w:eastAsia="微软雅黑"/>
          <w:bCs/>
          <w:sz w:val="52"/>
          <w:szCs w:val="52"/>
        </w:rPr>
      </w:pPr>
    </w:p>
    <w:p>
      <w:pPr>
        <w:ind w:firstLine="0" w:firstLineChars="0"/>
        <w:jc w:val="center"/>
        <w:rPr>
          <w:rFonts w:ascii="微软雅黑" w:hAnsi="微软雅黑" w:eastAsia="微软雅黑"/>
          <w:bCs/>
          <w:sz w:val="52"/>
          <w:szCs w:val="52"/>
        </w:rPr>
      </w:pPr>
    </w:p>
    <w:p>
      <w:pPr>
        <w:ind w:firstLine="0" w:firstLineChars="0"/>
        <w:jc w:val="center"/>
        <w:rPr>
          <w:rFonts w:ascii="微软雅黑" w:hAnsi="微软雅黑" w:eastAsia="微软雅黑"/>
          <w:bCs/>
          <w:sz w:val="52"/>
          <w:szCs w:val="52"/>
        </w:rPr>
      </w:pPr>
    </w:p>
    <w:p>
      <w:pPr>
        <w:ind w:firstLine="0" w:firstLineChars="0"/>
        <w:jc w:val="center"/>
        <w:rPr>
          <w:rFonts w:ascii="微软雅黑" w:hAnsi="微软雅黑" w:eastAsia="微软雅黑"/>
          <w:bCs/>
          <w:sz w:val="52"/>
          <w:szCs w:val="52"/>
        </w:rPr>
      </w:pPr>
    </w:p>
    <w:p>
      <w:pPr>
        <w:ind w:firstLine="0" w:firstLineChars="0"/>
        <w:rPr>
          <w:rFonts w:ascii="微软雅黑" w:hAnsi="微软雅黑" w:eastAsia="微软雅黑"/>
          <w:bCs/>
          <w:sz w:val="52"/>
          <w:szCs w:val="52"/>
        </w:rPr>
      </w:pPr>
    </w:p>
    <w:p>
      <w:pPr>
        <w:ind w:firstLine="643"/>
        <w:jc w:val="center"/>
        <w:rPr>
          <w:rFonts w:ascii="仿宋" w:hAnsi="仿宋"/>
          <w:b/>
          <w:sz w:val="32"/>
          <w:szCs w:val="32"/>
        </w:rPr>
      </w:pPr>
      <w:r>
        <w:rPr>
          <w:rFonts w:hint="eastAsia" w:ascii="仿宋" w:hAnsi="仿宋"/>
          <w:b/>
          <w:sz w:val="32"/>
          <w:szCs w:val="32"/>
        </w:rPr>
        <w:t>兴安县</w:t>
      </w:r>
      <w:r>
        <w:rPr>
          <w:rFonts w:ascii="仿宋" w:hAnsi="仿宋"/>
          <w:b/>
          <w:sz w:val="32"/>
          <w:szCs w:val="32"/>
        </w:rPr>
        <w:t>人民政府</w:t>
      </w:r>
    </w:p>
    <w:p>
      <w:pPr>
        <w:ind w:firstLine="643"/>
        <w:jc w:val="center"/>
        <w:rPr>
          <w:rFonts w:ascii="仿宋" w:hAnsi="仿宋"/>
          <w:b/>
          <w:sz w:val="32"/>
          <w:szCs w:val="36"/>
        </w:rPr>
        <w:sectPr>
          <w:headerReference r:id="rId7" w:type="first"/>
          <w:footerReference r:id="rId10" w:type="first"/>
          <w:headerReference r:id="rId5" w:type="default"/>
          <w:footerReference r:id="rId8" w:type="default"/>
          <w:headerReference r:id="rId6" w:type="even"/>
          <w:footerReference r:id="rId9" w:type="even"/>
          <w:type w:val="continuous"/>
          <w:pgSz w:w="23757" w:h="16783" w:orient="landscape"/>
          <w:pgMar w:top="1440" w:right="1588" w:bottom="1440" w:left="1588" w:header="851" w:footer="992" w:gutter="0"/>
          <w:pgNumType w:fmt="upperRoman"/>
          <w:cols w:space="720" w:num="1"/>
          <w:docGrid w:type="lines" w:linePitch="312" w:charSpace="0"/>
        </w:sectPr>
      </w:pPr>
      <w:r>
        <w:rPr>
          <w:rFonts w:hint="eastAsia" w:ascii="仿宋" w:hAnsi="仿宋"/>
          <w:b/>
          <w:sz w:val="32"/>
          <w:szCs w:val="32"/>
        </w:rPr>
        <w:t>2019年9月</w:t>
      </w:r>
    </w:p>
    <w:p>
      <w:pPr>
        <w:ind w:firstLine="0" w:firstLineChars="0"/>
        <w:rPr>
          <w:rFonts w:ascii="微软雅黑" w:hAnsi="微软雅黑" w:eastAsia="微软雅黑"/>
          <w:b/>
          <w:sz w:val="36"/>
        </w:rPr>
        <w:sectPr>
          <w:footerReference r:id="rId11" w:type="default"/>
          <w:type w:val="continuous"/>
          <w:pgSz w:w="23757" w:h="16783" w:orient="landscape"/>
          <w:pgMar w:top="1440" w:right="1588" w:bottom="1440" w:left="1588" w:header="851" w:footer="992" w:gutter="0"/>
          <w:pgNumType w:fmt="upperRoman"/>
          <w:cols w:space="1401" w:num="2"/>
          <w:docGrid w:type="lines" w:linePitch="312" w:charSpace="0"/>
        </w:sectPr>
      </w:pPr>
      <w:r>
        <w:rPr>
          <w:rFonts w:ascii="微软雅黑" w:hAnsi="微软雅黑" w:eastAsia="微软雅黑"/>
          <w:b/>
          <w:sz w:val="36"/>
        </w:rPr>
        <w:br w:type="page"/>
      </w:r>
    </w:p>
    <w:p>
      <w:pPr>
        <w:ind w:left="840" w:leftChars="300" w:firstLine="643"/>
        <w:jc w:val="left"/>
        <w:rPr>
          <w:rFonts w:ascii="幼圆" w:eastAsia="幼圆" w:hAnsiTheme="minorEastAsia"/>
          <w:sz w:val="32"/>
        </w:rPr>
      </w:pPr>
      <w:r>
        <w:rPr>
          <w:rFonts w:hint="eastAsia" w:ascii="幼圆" w:eastAsia="幼圆" w:hAnsiTheme="minorEastAsia"/>
          <w:b/>
          <w:sz w:val="32"/>
        </w:rPr>
        <w:t>项目名称：</w:t>
      </w:r>
      <w:r>
        <w:rPr>
          <w:rFonts w:hint="eastAsia" w:ascii="幼圆" w:eastAsia="幼圆" w:hAnsiTheme="minorEastAsia"/>
          <w:sz w:val="32"/>
        </w:rPr>
        <w:t>兴安县特色农产品优势区建设规划</w:t>
      </w:r>
    </w:p>
    <w:p>
      <w:pPr>
        <w:ind w:left="840" w:leftChars="300" w:firstLine="643"/>
        <w:jc w:val="left"/>
        <w:rPr>
          <w:rFonts w:ascii="幼圆" w:eastAsia="幼圆" w:hAnsiTheme="minorEastAsia"/>
          <w:sz w:val="32"/>
        </w:rPr>
      </w:pPr>
      <w:r>
        <w:rPr>
          <w:rFonts w:hint="eastAsia" w:ascii="幼圆" w:eastAsia="幼圆" w:hAnsiTheme="minorEastAsia"/>
          <w:b/>
          <w:sz w:val="32"/>
        </w:rPr>
        <w:t>组织单位：</w:t>
      </w:r>
      <w:r>
        <w:rPr>
          <w:rFonts w:hint="eastAsia" w:ascii="幼圆" w:eastAsia="幼圆" w:hAnsiTheme="minorEastAsia"/>
          <w:sz w:val="32"/>
        </w:rPr>
        <w:t>兴安县人民政府</w:t>
      </w:r>
    </w:p>
    <w:p>
      <w:pPr>
        <w:ind w:left="840" w:leftChars="300" w:firstLine="643"/>
        <w:jc w:val="left"/>
        <w:rPr>
          <w:rFonts w:ascii="幼圆" w:eastAsia="幼圆" w:hAnsiTheme="minorEastAsia"/>
          <w:sz w:val="32"/>
        </w:rPr>
      </w:pPr>
      <w:r>
        <w:rPr>
          <w:rFonts w:hint="eastAsia" w:ascii="幼圆" w:eastAsia="幼圆" w:hAnsiTheme="minorEastAsia"/>
          <w:b/>
          <w:sz w:val="32"/>
        </w:rPr>
        <w:t>委托单位：</w:t>
      </w:r>
      <w:r>
        <w:rPr>
          <w:rFonts w:hint="eastAsia" w:ascii="幼圆" w:eastAsia="幼圆" w:hAnsiTheme="minorEastAsia"/>
          <w:sz w:val="32"/>
        </w:rPr>
        <w:t>兴安县农业农村局</w:t>
      </w:r>
    </w:p>
    <w:p>
      <w:pPr>
        <w:ind w:left="840" w:leftChars="300" w:firstLine="643"/>
        <w:jc w:val="left"/>
        <w:rPr>
          <w:rFonts w:ascii="幼圆" w:eastAsia="幼圆" w:hAnsiTheme="minorEastAsia"/>
          <w:b/>
          <w:sz w:val="32"/>
        </w:rPr>
      </w:pPr>
      <w:r>
        <w:rPr>
          <w:rFonts w:hint="eastAsia" w:ascii="幼圆" w:eastAsia="幼圆" w:hAnsiTheme="minorEastAsia"/>
          <w:b/>
          <w:sz w:val="32"/>
        </w:rPr>
        <w:t>编制单位：</w:t>
      </w:r>
      <w:r>
        <w:rPr>
          <w:rFonts w:hint="eastAsia" w:ascii="幼圆" w:eastAsia="幼圆" w:hAnsiTheme="minorEastAsia"/>
          <w:sz w:val="32"/>
        </w:rPr>
        <w:t>广西南宁赣丰博规划咨询有限公司</w:t>
      </w:r>
    </w:p>
    <w:p>
      <w:pPr>
        <w:ind w:left="280" w:leftChars="100" w:firstLine="720"/>
        <w:jc w:val="left"/>
        <w:rPr>
          <w:rFonts w:ascii="幼圆" w:eastAsia="幼圆" w:hAnsiTheme="minorEastAsia"/>
          <w:sz w:val="36"/>
        </w:rPr>
      </w:pPr>
    </w:p>
    <w:p>
      <w:pPr>
        <w:ind w:left="840" w:leftChars="300" w:firstLine="643"/>
        <w:jc w:val="left"/>
        <w:rPr>
          <w:rFonts w:ascii="幼圆" w:eastAsia="幼圆" w:hAnsiTheme="minorEastAsia"/>
          <w:b/>
          <w:sz w:val="32"/>
          <w:szCs w:val="32"/>
        </w:rPr>
      </w:pPr>
      <w:r>
        <w:rPr>
          <w:rFonts w:hint="eastAsia" w:ascii="幼圆" w:eastAsia="幼圆" w:hAnsiTheme="minorEastAsia"/>
          <w:b/>
          <w:sz w:val="32"/>
          <w:szCs w:val="32"/>
        </w:rPr>
        <w:t>项目审定：</w:t>
      </w:r>
      <w:r>
        <w:rPr>
          <w:rFonts w:hint="eastAsia" w:ascii="幼圆" w:eastAsia="幼圆" w:hAnsiTheme="minorEastAsia"/>
          <w:sz w:val="32"/>
          <w:szCs w:val="32"/>
        </w:rPr>
        <w:t>黄爱莲</w:t>
      </w:r>
      <w:r>
        <w:rPr>
          <w:rFonts w:ascii="幼圆" w:eastAsia="幼圆" w:hAnsiTheme="minorEastAsia"/>
          <w:sz w:val="32"/>
          <w:szCs w:val="32"/>
        </w:rPr>
        <w:t xml:space="preserve">   </w:t>
      </w:r>
      <w:r>
        <w:rPr>
          <w:rFonts w:hint="eastAsia" w:ascii="幼圆" w:eastAsia="幼圆" w:hAnsiTheme="minorEastAsia"/>
          <w:sz w:val="32"/>
          <w:szCs w:val="32"/>
        </w:rPr>
        <w:t>教授</w:t>
      </w:r>
      <w:r>
        <w:rPr>
          <w:rFonts w:ascii="幼圆" w:eastAsia="幼圆" w:hAnsiTheme="minorEastAsia"/>
          <w:sz w:val="32"/>
          <w:szCs w:val="32"/>
        </w:rPr>
        <w:t xml:space="preserve">  </w:t>
      </w:r>
      <w:r>
        <w:rPr>
          <w:rFonts w:hint="eastAsia" w:ascii="幼圆" w:eastAsia="幼圆" w:hAnsiTheme="minorEastAsia"/>
          <w:sz w:val="32"/>
          <w:szCs w:val="32"/>
        </w:rPr>
        <w:t>博士</w:t>
      </w:r>
    </w:p>
    <w:p>
      <w:pPr>
        <w:ind w:left="840" w:leftChars="300" w:firstLine="643"/>
        <w:jc w:val="left"/>
        <w:rPr>
          <w:rFonts w:ascii="幼圆" w:eastAsia="幼圆" w:hAnsiTheme="minorEastAsia"/>
          <w:b/>
          <w:sz w:val="32"/>
          <w:szCs w:val="32"/>
        </w:rPr>
      </w:pPr>
      <w:r>
        <w:rPr>
          <w:rFonts w:hint="eastAsia" w:ascii="幼圆" w:eastAsia="幼圆" w:hAnsiTheme="minorEastAsia"/>
          <w:b/>
          <w:sz w:val="32"/>
          <w:szCs w:val="32"/>
        </w:rPr>
        <w:t>项目负责：</w:t>
      </w:r>
      <w:r>
        <w:rPr>
          <w:rFonts w:hint="eastAsia" w:ascii="幼圆" w:eastAsia="幼圆" w:hAnsiTheme="minorEastAsia"/>
          <w:sz w:val="32"/>
          <w:szCs w:val="32"/>
        </w:rPr>
        <w:t>陆顺忠</w:t>
      </w:r>
      <w:r>
        <w:rPr>
          <w:rFonts w:ascii="幼圆" w:eastAsia="幼圆" w:hAnsiTheme="minorEastAsia"/>
          <w:sz w:val="32"/>
          <w:szCs w:val="32"/>
        </w:rPr>
        <w:t xml:space="preserve">   教授  博士</w:t>
      </w:r>
    </w:p>
    <w:p>
      <w:pPr>
        <w:ind w:left="840" w:leftChars="300" w:firstLine="643"/>
        <w:jc w:val="left"/>
        <w:rPr>
          <w:rFonts w:ascii="幼圆" w:eastAsia="幼圆" w:hAnsiTheme="minorEastAsia"/>
          <w:b/>
          <w:sz w:val="32"/>
          <w:szCs w:val="32"/>
        </w:rPr>
      </w:pPr>
    </w:p>
    <w:p>
      <w:pPr>
        <w:ind w:left="840" w:leftChars="300" w:firstLine="643"/>
        <w:jc w:val="left"/>
        <w:rPr>
          <w:rFonts w:ascii="幼圆" w:eastAsia="幼圆" w:hAnsiTheme="minorEastAsia"/>
          <w:b/>
          <w:color w:val="000000" w:themeColor="text1"/>
          <w:sz w:val="32"/>
          <w:szCs w:val="32"/>
          <w14:textFill>
            <w14:solidFill>
              <w14:schemeClr w14:val="tx1"/>
            </w14:solidFill>
          </w14:textFill>
        </w:rPr>
      </w:pPr>
      <w:r>
        <w:rPr>
          <w:rFonts w:hint="eastAsia" w:ascii="幼圆" w:eastAsia="幼圆" w:hAnsiTheme="minorEastAsia"/>
          <w:b/>
          <w:color w:val="000000" w:themeColor="text1"/>
          <w:sz w:val="32"/>
          <w:szCs w:val="32"/>
          <w14:textFill>
            <w14:solidFill>
              <w14:schemeClr w14:val="tx1"/>
            </w14:solidFill>
          </w14:textFill>
        </w:rPr>
        <w:t>主要编制人员：</w:t>
      </w:r>
    </w:p>
    <w:p>
      <w:pPr>
        <w:ind w:left="1960" w:leftChars="700" w:firstLine="640"/>
        <w:jc w:val="left"/>
        <w:rPr>
          <w:rFonts w:ascii="幼圆" w:eastAsia="幼圆" w:hAnsiTheme="minorEastAsia"/>
          <w:color w:val="000000" w:themeColor="text1"/>
          <w:sz w:val="32"/>
          <w:szCs w:val="32"/>
          <w14:textFill>
            <w14:solidFill>
              <w14:schemeClr w14:val="tx1"/>
            </w14:solidFill>
          </w14:textFill>
        </w:rPr>
      </w:pPr>
      <w:r>
        <w:rPr>
          <w:rFonts w:hint="eastAsia" w:ascii="幼圆" w:eastAsia="幼圆" w:hAnsiTheme="minorEastAsia"/>
          <w:color w:val="000000" w:themeColor="text1"/>
          <w:sz w:val="32"/>
          <w:szCs w:val="32"/>
          <w14:textFill>
            <w14:solidFill>
              <w14:schemeClr w14:val="tx1"/>
            </w14:solidFill>
          </w14:textFill>
        </w:rPr>
        <w:t xml:space="preserve">王泽亮  </w:t>
      </w:r>
      <w:r>
        <w:rPr>
          <w:rFonts w:ascii="幼圆" w:eastAsia="幼圆" w:hAnsiTheme="minorEastAsia"/>
          <w:color w:val="000000" w:themeColor="text1"/>
          <w:sz w:val="32"/>
          <w:szCs w:val="32"/>
          <w14:textFill>
            <w14:solidFill>
              <w14:schemeClr w14:val="tx1"/>
            </w14:solidFill>
          </w14:textFill>
        </w:rPr>
        <w:t xml:space="preserve">  </w:t>
      </w:r>
      <w:r>
        <w:rPr>
          <w:rFonts w:hint="eastAsia" w:ascii="幼圆" w:eastAsia="幼圆" w:hAnsiTheme="minorEastAsia"/>
          <w:color w:val="000000" w:themeColor="text1"/>
          <w:sz w:val="32"/>
          <w:szCs w:val="32"/>
          <w14:textFill>
            <w14:solidFill>
              <w14:schemeClr w14:val="tx1"/>
            </w14:solidFill>
          </w14:textFill>
        </w:rPr>
        <w:t xml:space="preserve">副研究员  </w:t>
      </w:r>
      <w:r>
        <w:rPr>
          <w:rFonts w:ascii="幼圆" w:eastAsia="幼圆" w:hAnsiTheme="minorEastAsia"/>
          <w:color w:val="000000" w:themeColor="text1"/>
          <w:sz w:val="32"/>
          <w:szCs w:val="32"/>
          <w14:textFill>
            <w14:solidFill>
              <w14:schemeClr w14:val="tx1"/>
            </w14:solidFill>
          </w14:textFill>
        </w:rPr>
        <w:t xml:space="preserve">   </w:t>
      </w:r>
      <w:r>
        <w:rPr>
          <w:rFonts w:hint="eastAsia" w:ascii="幼圆" w:eastAsia="幼圆" w:hAnsiTheme="minorEastAsia"/>
          <w:color w:val="000000" w:themeColor="text1"/>
          <w:sz w:val="32"/>
          <w:szCs w:val="32"/>
          <w14:textFill>
            <w14:solidFill>
              <w14:schemeClr w14:val="tx1"/>
            </w14:solidFill>
          </w14:textFill>
        </w:rPr>
        <w:t>林业</w:t>
      </w:r>
    </w:p>
    <w:p>
      <w:pPr>
        <w:ind w:left="1960" w:leftChars="700" w:firstLine="640"/>
        <w:jc w:val="left"/>
        <w:rPr>
          <w:rFonts w:ascii="幼圆" w:eastAsia="幼圆" w:hAnsiTheme="minorEastAsia"/>
          <w:color w:val="000000" w:themeColor="text1"/>
          <w:sz w:val="32"/>
          <w:szCs w:val="32"/>
          <w14:textFill>
            <w14:solidFill>
              <w14:schemeClr w14:val="tx1"/>
            </w14:solidFill>
          </w14:textFill>
        </w:rPr>
      </w:pPr>
      <w:r>
        <w:rPr>
          <w:rFonts w:hint="eastAsia" w:ascii="幼圆" w:eastAsia="幼圆" w:hAnsiTheme="minorEastAsia"/>
          <w:color w:val="000000" w:themeColor="text1"/>
          <w:sz w:val="32"/>
          <w:szCs w:val="32"/>
          <w14:textFill>
            <w14:solidFill>
              <w14:schemeClr w14:val="tx1"/>
            </w14:solidFill>
          </w14:textFill>
        </w:rPr>
        <w:t xml:space="preserve">肖兴翠  </w:t>
      </w:r>
      <w:r>
        <w:rPr>
          <w:rFonts w:ascii="幼圆" w:eastAsia="幼圆" w:hAnsiTheme="minorEastAsia"/>
          <w:color w:val="000000" w:themeColor="text1"/>
          <w:sz w:val="32"/>
          <w:szCs w:val="32"/>
          <w14:textFill>
            <w14:solidFill>
              <w14:schemeClr w14:val="tx1"/>
            </w14:solidFill>
          </w14:textFill>
        </w:rPr>
        <w:t xml:space="preserve">  </w:t>
      </w:r>
      <w:r>
        <w:rPr>
          <w:rFonts w:hint="eastAsia" w:ascii="幼圆" w:eastAsia="幼圆" w:hAnsiTheme="minorEastAsia"/>
          <w:color w:val="000000" w:themeColor="text1"/>
          <w:sz w:val="32"/>
          <w:szCs w:val="32"/>
          <w14:textFill>
            <w14:solidFill>
              <w14:schemeClr w14:val="tx1"/>
            </w14:solidFill>
          </w14:textFill>
        </w:rPr>
        <w:t xml:space="preserve">高级工程师  </w:t>
      </w:r>
      <w:r>
        <w:rPr>
          <w:rFonts w:ascii="幼圆" w:eastAsia="幼圆" w:hAnsiTheme="minorEastAsia"/>
          <w:color w:val="000000" w:themeColor="text1"/>
          <w:sz w:val="32"/>
          <w:szCs w:val="32"/>
          <w14:textFill>
            <w14:solidFill>
              <w14:schemeClr w14:val="tx1"/>
            </w14:solidFill>
          </w14:textFill>
        </w:rPr>
        <w:t xml:space="preserve"> </w:t>
      </w:r>
      <w:r>
        <w:rPr>
          <w:rFonts w:hint="eastAsia" w:ascii="幼圆" w:eastAsia="幼圆" w:hAnsiTheme="minorEastAsia"/>
          <w:color w:val="000000" w:themeColor="text1"/>
          <w:sz w:val="32"/>
          <w:szCs w:val="32"/>
          <w14:textFill>
            <w14:solidFill>
              <w14:schemeClr w14:val="tx1"/>
            </w14:solidFill>
          </w14:textFill>
        </w:rPr>
        <w:t>森林培育</w:t>
      </w:r>
    </w:p>
    <w:p>
      <w:pPr>
        <w:ind w:left="1960" w:leftChars="700" w:firstLine="640"/>
        <w:jc w:val="left"/>
        <w:rPr>
          <w:rFonts w:ascii="幼圆" w:eastAsia="幼圆" w:hAnsiTheme="minorEastAsia"/>
          <w:color w:val="000000" w:themeColor="text1"/>
          <w:sz w:val="32"/>
          <w:szCs w:val="32"/>
          <w14:textFill>
            <w14:solidFill>
              <w14:schemeClr w14:val="tx1"/>
            </w14:solidFill>
          </w14:textFill>
        </w:rPr>
      </w:pPr>
      <w:r>
        <w:rPr>
          <w:rFonts w:hint="eastAsia" w:ascii="幼圆" w:eastAsia="幼圆" w:hAnsiTheme="minorEastAsia"/>
          <w:color w:val="000000" w:themeColor="text1"/>
          <w:sz w:val="32"/>
          <w:szCs w:val="32"/>
          <w14:textFill>
            <w14:solidFill>
              <w14:schemeClr w14:val="tx1"/>
            </w14:solidFill>
          </w14:textFill>
        </w:rPr>
        <w:t xml:space="preserve">汤新艺  </w:t>
      </w:r>
      <w:r>
        <w:rPr>
          <w:rFonts w:ascii="幼圆" w:eastAsia="幼圆" w:hAnsiTheme="minorEastAsia"/>
          <w:color w:val="000000" w:themeColor="text1"/>
          <w:sz w:val="32"/>
          <w:szCs w:val="32"/>
          <w14:textFill>
            <w14:solidFill>
              <w14:schemeClr w14:val="tx1"/>
            </w14:solidFill>
          </w14:textFill>
        </w:rPr>
        <w:t xml:space="preserve">  </w:t>
      </w:r>
      <w:r>
        <w:rPr>
          <w:rFonts w:hint="eastAsia" w:ascii="幼圆" w:eastAsia="幼圆" w:hAnsiTheme="minorEastAsia"/>
          <w:color w:val="000000" w:themeColor="text1"/>
          <w:sz w:val="32"/>
          <w:szCs w:val="32"/>
          <w14:textFill>
            <w14:solidFill>
              <w14:schemeClr w14:val="tx1"/>
            </w14:solidFill>
          </w14:textFill>
        </w:rPr>
        <w:t xml:space="preserve">讲师  </w:t>
      </w:r>
      <w:r>
        <w:rPr>
          <w:rFonts w:ascii="幼圆" w:eastAsia="幼圆" w:hAnsiTheme="minorEastAsia"/>
          <w:color w:val="000000" w:themeColor="text1"/>
          <w:sz w:val="32"/>
          <w:szCs w:val="32"/>
          <w14:textFill>
            <w14:solidFill>
              <w14:schemeClr w14:val="tx1"/>
            </w14:solidFill>
          </w14:textFill>
        </w:rPr>
        <w:t xml:space="preserve">       </w:t>
      </w:r>
      <w:r>
        <w:rPr>
          <w:rFonts w:hint="eastAsia" w:ascii="幼圆" w:eastAsia="幼圆" w:hAnsiTheme="minorEastAsia"/>
          <w:color w:val="000000" w:themeColor="text1"/>
          <w:sz w:val="32"/>
          <w:szCs w:val="32"/>
          <w14:textFill>
            <w14:solidFill>
              <w14:schemeClr w14:val="tx1"/>
            </w14:solidFill>
          </w14:textFill>
        </w:rPr>
        <w:t>生态学</w:t>
      </w:r>
    </w:p>
    <w:p>
      <w:pPr>
        <w:ind w:left="1960" w:leftChars="700" w:firstLine="640"/>
        <w:jc w:val="left"/>
        <w:rPr>
          <w:rFonts w:ascii="幼圆" w:eastAsia="幼圆" w:hAnsiTheme="minorEastAsia"/>
          <w:color w:val="000000" w:themeColor="text1"/>
          <w:sz w:val="32"/>
          <w:szCs w:val="32"/>
          <w14:textFill>
            <w14:solidFill>
              <w14:schemeClr w14:val="tx1"/>
            </w14:solidFill>
          </w14:textFill>
        </w:rPr>
      </w:pPr>
      <w:r>
        <w:rPr>
          <w:rFonts w:hint="eastAsia" w:ascii="幼圆" w:eastAsia="幼圆" w:hAnsiTheme="minorEastAsia"/>
          <w:color w:val="000000" w:themeColor="text1"/>
          <w:sz w:val="32"/>
          <w:szCs w:val="32"/>
          <w14:textFill>
            <w14:solidFill>
              <w14:schemeClr w14:val="tx1"/>
            </w14:solidFill>
          </w14:textFill>
        </w:rPr>
        <w:t xml:space="preserve">孙慧静  </w:t>
      </w:r>
      <w:r>
        <w:rPr>
          <w:rFonts w:ascii="幼圆" w:eastAsia="幼圆" w:hAnsiTheme="minorEastAsia"/>
          <w:color w:val="000000" w:themeColor="text1"/>
          <w:sz w:val="32"/>
          <w:szCs w:val="32"/>
          <w14:textFill>
            <w14:solidFill>
              <w14:schemeClr w14:val="tx1"/>
            </w14:solidFill>
          </w14:textFill>
        </w:rPr>
        <w:t xml:space="preserve">  </w:t>
      </w:r>
      <w:r>
        <w:rPr>
          <w:rFonts w:hint="eastAsia" w:ascii="幼圆" w:eastAsia="幼圆" w:hAnsiTheme="minorEastAsia"/>
          <w:color w:val="000000" w:themeColor="text1"/>
          <w:sz w:val="32"/>
          <w:szCs w:val="32"/>
          <w14:textFill>
            <w14:solidFill>
              <w14:schemeClr w14:val="tx1"/>
            </w14:solidFill>
          </w14:textFill>
        </w:rPr>
        <w:t xml:space="preserve">讲师  </w:t>
      </w:r>
      <w:r>
        <w:rPr>
          <w:rFonts w:ascii="幼圆" w:eastAsia="幼圆" w:hAnsiTheme="minorEastAsia"/>
          <w:color w:val="000000" w:themeColor="text1"/>
          <w:sz w:val="32"/>
          <w:szCs w:val="32"/>
          <w14:textFill>
            <w14:solidFill>
              <w14:schemeClr w14:val="tx1"/>
            </w14:solidFill>
          </w14:textFill>
        </w:rPr>
        <w:t xml:space="preserve">       </w:t>
      </w:r>
      <w:r>
        <w:rPr>
          <w:rFonts w:hint="eastAsia" w:ascii="幼圆" w:eastAsia="幼圆" w:hAnsiTheme="minorEastAsia"/>
          <w:color w:val="000000" w:themeColor="text1"/>
          <w:sz w:val="32"/>
          <w:szCs w:val="32"/>
          <w14:textFill>
            <w14:solidFill>
              <w14:schemeClr w14:val="tx1"/>
            </w14:solidFill>
          </w14:textFill>
        </w:rPr>
        <w:t>农村区域发展</w:t>
      </w:r>
    </w:p>
    <w:p>
      <w:pPr>
        <w:ind w:left="1960" w:leftChars="700" w:firstLine="640"/>
        <w:jc w:val="left"/>
        <w:rPr>
          <w:rFonts w:ascii="幼圆" w:eastAsia="幼圆" w:hAnsiTheme="minorEastAsia"/>
          <w:color w:val="000000" w:themeColor="text1"/>
          <w:sz w:val="32"/>
          <w:szCs w:val="32"/>
          <w14:textFill>
            <w14:solidFill>
              <w14:schemeClr w14:val="tx1"/>
            </w14:solidFill>
          </w14:textFill>
        </w:rPr>
      </w:pPr>
      <w:r>
        <w:rPr>
          <w:rFonts w:hint="eastAsia" w:ascii="幼圆" w:eastAsia="幼圆" w:hAnsiTheme="minorEastAsia"/>
          <w:color w:val="000000" w:themeColor="text1"/>
          <w:sz w:val="32"/>
          <w:szCs w:val="32"/>
          <w14:textFill>
            <w14:solidFill>
              <w14:schemeClr w14:val="tx1"/>
            </w14:solidFill>
          </w14:textFill>
        </w:rPr>
        <w:t xml:space="preserve">童鹏明  </w:t>
      </w:r>
      <w:r>
        <w:rPr>
          <w:rFonts w:ascii="幼圆" w:eastAsia="幼圆" w:hAnsiTheme="minorEastAsia"/>
          <w:color w:val="000000" w:themeColor="text1"/>
          <w:sz w:val="32"/>
          <w:szCs w:val="32"/>
          <w14:textFill>
            <w14:solidFill>
              <w14:schemeClr w14:val="tx1"/>
            </w14:solidFill>
          </w14:textFill>
        </w:rPr>
        <w:t xml:space="preserve">  </w:t>
      </w:r>
      <w:r>
        <w:rPr>
          <w:rFonts w:hint="eastAsia" w:ascii="幼圆" w:eastAsia="幼圆" w:hAnsiTheme="minorEastAsia"/>
          <w:color w:val="000000" w:themeColor="text1"/>
          <w:sz w:val="32"/>
          <w:szCs w:val="32"/>
          <w14:textFill>
            <w14:solidFill>
              <w14:schemeClr w14:val="tx1"/>
            </w14:solidFill>
          </w14:textFill>
        </w:rPr>
        <w:t xml:space="preserve">规划师  </w:t>
      </w:r>
      <w:r>
        <w:rPr>
          <w:rFonts w:ascii="幼圆" w:eastAsia="幼圆" w:hAnsiTheme="minorEastAsia"/>
          <w:color w:val="000000" w:themeColor="text1"/>
          <w:sz w:val="32"/>
          <w:szCs w:val="32"/>
          <w14:textFill>
            <w14:solidFill>
              <w14:schemeClr w14:val="tx1"/>
            </w14:solidFill>
          </w14:textFill>
        </w:rPr>
        <w:t xml:space="preserve">     </w:t>
      </w:r>
      <w:r>
        <w:rPr>
          <w:rFonts w:hint="eastAsia" w:ascii="幼圆" w:eastAsia="幼圆" w:hAnsiTheme="minorEastAsia"/>
          <w:color w:val="000000" w:themeColor="text1"/>
          <w:sz w:val="32"/>
          <w:szCs w:val="32"/>
          <w14:textFill>
            <w14:solidFill>
              <w14:schemeClr w14:val="tx1"/>
            </w14:solidFill>
          </w14:textFill>
        </w:rPr>
        <w:t>城乡规划</w:t>
      </w:r>
    </w:p>
    <w:p>
      <w:pPr>
        <w:ind w:left="1960" w:leftChars="700" w:firstLine="640"/>
        <w:jc w:val="left"/>
        <w:rPr>
          <w:rFonts w:ascii="幼圆" w:eastAsia="幼圆" w:hAnsiTheme="minorEastAsia"/>
          <w:color w:val="000000" w:themeColor="text1"/>
          <w:sz w:val="32"/>
          <w:szCs w:val="32"/>
          <w14:textFill>
            <w14:solidFill>
              <w14:schemeClr w14:val="tx1"/>
            </w14:solidFill>
          </w14:textFill>
        </w:rPr>
      </w:pPr>
      <w:r>
        <w:rPr>
          <w:rFonts w:hint="eastAsia" w:ascii="幼圆" w:eastAsia="幼圆" w:hAnsiTheme="minorEastAsia"/>
          <w:color w:val="000000" w:themeColor="text1"/>
          <w:sz w:val="32"/>
          <w:szCs w:val="32"/>
          <w14:textFill>
            <w14:solidFill>
              <w14:schemeClr w14:val="tx1"/>
            </w14:solidFill>
          </w14:textFill>
        </w:rPr>
        <w:t xml:space="preserve">汤细蝶  </w:t>
      </w:r>
      <w:r>
        <w:rPr>
          <w:rFonts w:ascii="幼圆" w:eastAsia="幼圆" w:hAnsiTheme="minorEastAsia"/>
          <w:color w:val="000000" w:themeColor="text1"/>
          <w:sz w:val="32"/>
          <w:szCs w:val="32"/>
          <w14:textFill>
            <w14:solidFill>
              <w14:schemeClr w14:val="tx1"/>
            </w14:solidFill>
          </w14:textFill>
        </w:rPr>
        <w:t xml:space="preserve">  </w:t>
      </w:r>
      <w:r>
        <w:rPr>
          <w:rFonts w:hint="eastAsia" w:ascii="幼圆" w:eastAsia="幼圆" w:hAnsiTheme="minorEastAsia"/>
          <w:color w:val="000000" w:themeColor="text1"/>
          <w:sz w:val="32"/>
          <w:szCs w:val="32"/>
          <w14:textFill>
            <w14:solidFill>
              <w14:schemeClr w14:val="tx1"/>
            </w14:solidFill>
          </w14:textFill>
        </w:rPr>
        <w:t xml:space="preserve">园林设计师  </w:t>
      </w:r>
      <w:r>
        <w:rPr>
          <w:rFonts w:ascii="幼圆" w:eastAsia="幼圆" w:hAnsiTheme="minorEastAsia"/>
          <w:color w:val="000000" w:themeColor="text1"/>
          <w:sz w:val="32"/>
          <w:szCs w:val="32"/>
          <w14:textFill>
            <w14:solidFill>
              <w14:schemeClr w14:val="tx1"/>
            </w14:solidFill>
          </w14:textFill>
        </w:rPr>
        <w:t xml:space="preserve"> </w:t>
      </w:r>
      <w:r>
        <w:rPr>
          <w:rFonts w:hint="eastAsia" w:ascii="幼圆" w:eastAsia="幼圆" w:hAnsiTheme="minorEastAsia"/>
          <w:color w:val="000000" w:themeColor="text1"/>
          <w:sz w:val="32"/>
          <w:szCs w:val="32"/>
          <w14:textFill>
            <w14:solidFill>
              <w14:schemeClr w14:val="tx1"/>
            </w14:solidFill>
          </w14:textFill>
        </w:rPr>
        <w:t xml:space="preserve">园林景观 </w:t>
      </w:r>
    </w:p>
    <w:p>
      <w:pPr>
        <w:ind w:left="1960" w:leftChars="700" w:firstLine="640"/>
        <w:jc w:val="left"/>
        <w:rPr>
          <w:rFonts w:ascii="幼圆" w:eastAsia="幼圆" w:hAnsiTheme="minorEastAsia"/>
          <w:color w:val="000000" w:themeColor="text1"/>
          <w:sz w:val="32"/>
          <w:szCs w:val="32"/>
          <w14:textFill>
            <w14:solidFill>
              <w14:schemeClr w14:val="tx1"/>
            </w14:solidFill>
          </w14:textFill>
        </w:rPr>
      </w:pPr>
      <w:r>
        <w:rPr>
          <w:rFonts w:hint="eastAsia" w:ascii="幼圆" w:eastAsia="幼圆" w:hAnsiTheme="minorEastAsia"/>
          <w:color w:val="000000" w:themeColor="text1"/>
          <w:sz w:val="32"/>
          <w:szCs w:val="32"/>
          <w14:textFill>
            <w14:solidFill>
              <w14:schemeClr w14:val="tx1"/>
            </w14:solidFill>
          </w14:textFill>
        </w:rPr>
        <w:t>卢</w:t>
      </w:r>
      <w:r>
        <w:rPr>
          <w:rFonts w:ascii="幼圆" w:eastAsia="幼圆" w:hAnsiTheme="minorEastAsia"/>
          <w:color w:val="000000" w:themeColor="text1"/>
          <w:sz w:val="32"/>
          <w:szCs w:val="32"/>
          <w14:textFill>
            <w14:solidFill>
              <w14:schemeClr w14:val="tx1"/>
            </w14:solidFill>
          </w14:textFill>
        </w:rPr>
        <w:t>春慧</w:t>
      </w:r>
      <w:r>
        <w:rPr>
          <w:rFonts w:hint="eastAsia" w:ascii="幼圆" w:eastAsia="幼圆" w:hAnsiTheme="minorEastAsia"/>
          <w:color w:val="000000" w:themeColor="text1"/>
          <w:sz w:val="32"/>
          <w:szCs w:val="32"/>
          <w14:textFill>
            <w14:solidFill>
              <w14:schemeClr w14:val="tx1"/>
            </w14:solidFill>
          </w14:textFill>
        </w:rPr>
        <w:t xml:space="preserve">  </w:t>
      </w:r>
      <w:r>
        <w:rPr>
          <w:rFonts w:ascii="幼圆" w:eastAsia="幼圆" w:hAnsiTheme="minorEastAsia"/>
          <w:color w:val="000000" w:themeColor="text1"/>
          <w:sz w:val="32"/>
          <w:szCs w:val="32"/>
          <w14:textFill>
            <w14:solidFill>
              <w14:schemeClr w14:val="tx1"/>
            </w14:solidFill>
          </w14:textFill>
        </w:rPr>
        <w:t xml:space="preserve">  </w:t>
      </w:r>
      <w:r>
        <w:rPr>
          <w:rFonts w:hint="eastAsia" w:ascii="幼圆" w:eastAsia="幼圆" w:hAnsiTheme="minorEastAsia"/>
          <w:color w:val="000000" w:themeColor="text1"/>
          <w:sz w:val="32"/>
          <w:szCs w:val="32"/>
          <w14:textFill>
            <w14:solidFill>
              <w14:schemeClr w14:val="tx1"/>
            </w14:solidFill>
          </w14:textFill>
        </w:rPr>
        <w:t xml:space="preserve">助理工程师  </w:t>
      </w:r>
      <w:r>
        <w:rPr>
          <w:rFonts w:ascii="幼圆" w:eastAsia="幼圆" w:hAnsiTheme="minorEastAsia"/>
          <w:color w:val="000000" w:themeColor="text1"/>
          <w:sz w:val="32"/>
          <w:szCs w:val="32"/>
          <w14:textFill>
            <w14:solidFill>
              <w14:schemeClr w14:val="tx1"/>
            </w14:solidFill>
          </w14:textFill>
        </w:rPr>
        <w:t xml:space="preserve"> </w:t>
      </w:r>
      <w:r>
        <w:rPr>
          <w:rFonts w:hint="eastAsia" w:ascii="幼圆" w:eastAsia="幼圆" w:hAnsiTheme="minorEastAsia"/>
          <w:color w:val="000000" w:themeColor="text1"/>
          <w:sz w:val="32"/>
          <w:szCs w:val="32"/>
          <w14:textFill>
            <w14:solidFill>
              <w14:schemeClr w14:val="tx1"/>
            </w14:solidFill>
          </w14:textFill>
        </w:rPr>
        <w:t>旅游管理</w:t>
      </w:r>
    </w:p>
    <w:p>
      <w:pPr>
        <w:ind w:left="1960" w:leftChars="700" w:firstLine="640"/>
        <w:jc w:val="left"/>
        <w:rPr>
          <w:rFonts w:ascii="幼圆" w:eastAsia="幼圆" w:hAnsiTheme="minorEastAsia"/>
          <w:color w:val="000000" w:themeColor="text1"/>
          <w:sz w:val="32"/>
          <w:szCs w:val="32"/>
          <w14:textFill>
            <w14:solidFill>
              <w14:schemeClr w14:val="tx1"/>
            </w14:solidFill>
          </w14:textFill>
        </w:rPr>
      </w:pPr>
      <w:r>
        <w:rPr>
          <w:rFonts w:hint="eastAsia" w:ascii="幼圆" w:eastAsia="幼圆" w:hAnsiTheme="minorEastAsia"/>
          <w:color w:val="000000" w:themeColor="text1"/>
          <w:sz w:val="32"/>
          <w:szCs w:val="32"/>
          <w14:textFill>
            <w14:solidFill>
              <w14:schemeClr w14:val="tx1"/>
            </w14:solidFill>
          </w14:textFill>
        </w:rPr>
        <w:t xml:space="preserve">谢其林 </w:t>
      </w:r>
      <w:r>
        <w:rPr>
          <w:rFonts w:ascii="幼圆" w:eastAsia="幼圆" w:hAnsiTheme="minorEastAsia"/>
          <w:color w:val="000000" w:themeColor="text1"/>
          <w:sz w:val="32"/>
          <w:szCs w:val="32"/>
          <w14:textFill>
            <w14:solidFill>
              <w14:schemeClr w14:val="tx1"/>
            </w14:solidFill>
          </w14:textFill>
        </w:rPr>
        <w:t xml:space="preserve">  </w:t>
      </w:r>
      <w:r>
        <w:rPr>
          <w:rFonts w:hint="eastAsia" w:ascii="幼圆" w:eastAsia="幼圆" w:hAnsiTheme="minorEastAsia"/>
          <w:color w:val="000000" w:themeColor="text1"/>
          <w:sz w:val="32"/>
          <w:szCs w:val="32"/>
          <w14:textFill>
            <w14:solidFill>
              <w14:schemeClr w14:val="tx1"/>
            </w14:solidFill>
          </w14:textFill>
        </w:rPr>
        <w:t xml:space="preserve"> 助理工程师  </w:t>
      </w:r>
      <w:r>
        <w:rPr>
          <w:rFonts w:ascii="幼圆" w:eastAsia="幼圆" w:hAnsiTheme="minorEastAsia"/>
          <w:color w:val="000000" w:themeColor="text1"/>
          <w:sz w:val="32"/>
          <w:szCs w:val="32"/>
          <w14:textFill>
            <w14:solidFill>
              <w14:schemeClr w14:val="tx1"/>
            </w14:solidFill>
          </w14:textFill>
        </w:rPr>
        <w:t xml:space="preserve"> </w:t>
      </w:r>
      <w:r>
        <w:rPr>
          <w:rFonts w:hint="eastAsia" w:ascii="幼圆" w:eastAsia="幼圆" w:hAnsiTheme="minorEastAsia"/>
          <w:color w:val="000000" w:themeColor="text1"/>
          <w:sz w:val="32"/>
          <w:szCs w:val="32"/>
          <w14:textFill>
            <w14:solidFill>
              <w14:schemeClr w14:val="tx1"/>
            </w14:solidFill>
          </w14:textFill>
        </w:rPr>
        <w:t>风景园林</w:t>
      </w:r>
    </w:p>
    <w:p>
      <w:pPr>
        <w:ind w:left="1960" w:leftChars="700" w:firstLine="640"/>
        <w:jc w:val="left"/>
        <w:rPr>
          <w:rFonts w:ascii="幼圆" w:eastAsia="幼圆" w:hAnsiTheme="minorEastAsia"/>
          <w:color w:val="000000" w:themeColor="text1"/>
          <w:sz w:val="32"/>
          <w:szCs w:val="32"/>
          <w14:textFill>
            <w14:solidFill>
              <w14:schemeClr w14:val="tx1"/>
            </w14:solidFill>
          </w14:textFill>
        </w:rPr>
      </w:pPr>
      <w:r>
        <w:rPr>
          <w:rFonts w:hint="eastAsia" w:ascii="幼圆" w:eastAsia="幼圆" w:hAnsiTheme="minorEastAsia"/>
          <w:color w:val="000000" w:themeColor="text1"/>
          <w:sz w:val="32"/>
          <w:szCs w:val="32"/>
          <w14:textFill>
            <w14:solidFill>
              <w14:schemeClr w14:val="tx1"/>
            </w14:solidFill>
          </w14:textFill>
        </w:rPr>
        <w:t xml:space="preserve">谭潘鹏 </w:t>
      </w:r>
      <w:r>
        <w:rPr>
          <w:rFonts w:ascii="幼圆" w:eastAsia="幼圆" w:hAnsiTheme="minorEastAsia"/>
          <w:color w:val="000000" w:themeColor="text1"/>
          <w:sz w:val="32"/>
          <w:szCs w:val="32"/>
          <w14:textFill>
            <w14:solidFill>
              <w14:schemeClr w14:val="tx1"/>
            </w14:solidFill>
          </w14:textFill>
        </w:rPr>
        <w:t xml:space="preserve">   </w:t>
      </w:r>
      <w:r>
        <w:rPr>
          <w:rFonts w:hint="eastAsia" w:ascii="幼圆" w:eastAsia="幼圆" w:hAnsiTheme="minorEastAsia"/>
          <w:color w:val="000000" w:themeColor="text1"/>
          <w:sz w:val="32"/>
          <w:szCs w:val="32"/>
          <w14:textFill>
            <w14:solidFill>
              <w14:schemeClr w14:val="tx1"/>
            </w14:solidFill>
          </w14:textFill>
        </w:rPr>
        <w:t xml:space="preserve">硕士研究生  </w:t>
      </w:r>
      <w:r>
        <w:rPr>
          <w:rFonts w:ascii="幼圆" w:eastAsia="幼圆" w:hAnsiTheme="minorEastAsia"/>
          <w:color w:val="000000" w:themeColor="text1"/>
          <w:sz w:val="32"/>
          <w:szCs w:val="32"/>
          <w14:textFill>
            <w14:solidFill>
              <w14:schemeClr w14:val="tx1"/>
            </w14:solidFill>
          </w14:textFill>
        </w:rPr>
        <w:t xml:space="preserve"> </w:t>
      </w:r>
      <w:r>
        <w:rPr>
          <w:rFonts w:hint="eastAsia" w:ascii="幼圆" w:eastAsia="幼圆" w:hAnsiTheme="minorEastAsia"/>
          <w:color w:val="000000" w:themeColor="text1"/>
          <w:sz w:val="32"/>
          <w:szCs w:val="32"/>
          <w14:textFill>
            <w14:solidFill>
              <w14:schemeClr w14:val="tx1"/>
            </w14:solidFill>
          </w14:textFill>
        </w:rPr>
        <w:t>农村区域发展</w:t>
      </w:r>
    </w:p>
    <w:p>
      <w:pPr>
        <w:ind w:left="2520" w:leftChars="900" w:firstLine="640"/>
        <w:jc w:val="left"/>
        <w:rPr>
          <w:rFonts w:ascii="幼圆" w:eastAsia="幼圆" w:hAnsiTheme="minorEastAsia"/>
          <w:sz w:val="32"/>
          <w:szCs w:val="32"/>
        </w:rPr>
      </w:pPr>
    </w:p>
    <w:p>
      <w:pPr>
        <w:ind w:firstLine="198" w:firstLineChars="62"/>
        <w:jc w:val="left"/>
        <w:rPr>
          <w:rFonts w:ascii="幼圆" w:eastAsia="幼圆" w:hAnsiTheme="minorEastAsia"/>
          <w:sz w:val="32"/>
          <w:szCs w:val="32"/>
        </w:rPr>
      </w:pPr>
    </w:p>
    <w:p>
      <w:pPr>
        <w:ind w:firstLine="198" w:firstLineChars="62"/>
        <w:jc w:val="left"/>
        <w:rPr>
          <w:rFonts w:ascii="幼圆" w:eastAsia="幼圆" w:hAnsiTheme="minorEastAsia"/>
          <w:sz w:val="32"/>
          <w:szCs w:val="32"/>
        </w:rPr>
      </w:pPr>
    </w:p>
    <w:p>
      <w:pPr>
        <w:ind w:firstLine="198" w:firstLineChars="62"/>
        <w:jc w:val="left"/>
        <w:rPr>
          <w:rFonts w:ascii="幼圆" w:eastAsia="幼圆" w:hAnsiTheme="minorEastAsia"/>
          <w:sz w:val="32"/>
          <w:szCs w:val="32"/>
        </w:rPr>
      </w:pPr>
    </w:p>
    <w:p>
      <w:pPr>
        <w:ind w:firstLine="198" w:firstLineChars="62"/>
        <w:jc w:val="left"/>
        <w:rPr>
          <w:rFonts w:ascii="幼圆" w:eastAsia="幼圆" w:hAnsiTheme="minorEastAsia"/>
          <w:sz w:val="32"/>
          <w:szCs w:val="32"/>
        </w:rPr>
      </w:pPr>
    </w:p>
    <w:p>
      <w:pPr>
        <w:ind w:firstLine="198" w:firstLineChars="62"/>
        <w:jc w:val="left"/>
        <w:rPr>
          <w:rFonts w:ascii="幼圆" w:eastAsia="幼圆" w:hAnsiTheme="minorEastAsia"/>
          <w:sz w:val="32"/>
          <w:szCs w:val="32"/>
        </w:rPr>
      </w:pPr>
    </w:p>
    <w:p>
      <w:pPr>
        <w:ind w:firstLine="198" w:firstLineChars="62"/>
        <w:jc w:val="left"/>
        <w:rPr>
          <w:rFonts w:ascii="幼圆" w:eastAsia="幼圆" w:hAnsiTheme="minorEastAsia"/>
          <w:sz w:val="32"/>
          <w:szCs w:val="32"/>
        </w:rPr>
      </w:pPr>
    </w:p>
    <w:p>
      <w:pPr>
        <w:ind w:firstLine="198" w:firstLineChars="62"/>
        <w:jc w:val="left"/>
        <w:rPr>
          <w:rFonts w:ascii="幼圆" w:eastAsia="幼圆" w:hAnsiTheme="minorEastAsia"/>
          <w:sz w:val="32"/>
          <w:szCs w:val="32"/>
        </w:rPr>
      </w:pPr>
    </w:p>
    <w:p>
      <w:pPr>
        <w:ind w:firstLine="198" w:firstLineChars="62"/>
        <w:jc w:val="left"/>
        <w:rPr>
          <w:rFonts w:ascii="幼圆" w:eastAsia="幼圆" w:hAnsiTheme="minorEastAsia"/>
          <w:sz w:val="32"/>
          <w:szCs w:val="32"/>
        </w:rPr>
      </w:pPr>
    </w:p>
    <w:p>
      <w:pPr>
        <w:ind w:firstLine="198" w:firstLineChars="62"/>
        <w:jc w:val="left"/>
        <w:rPr>
          <w:rFonts w:ascii="幼圆" w:eastAsia="幼圆" w:hAnsiTheme="minorEastAsia"/>
          <w:sz w:val="32"/>
          <w:szCs w:val="32"/>
        </w:rPr>
      </w:pPr>
    </w:p>
    <w:p>
      <w:pPr>
        <w:ind w:firstLine="198" w:firstLineChars="62"/>
        <w:jc w:val="left"/>
        <w:rPr>
          <w:rFonts w:ascii="幼圆" w:eastAsia="幼圆" w:hAnsiTheme="minorEastAsia"/>
          <w:sz w:val="32"/>
          <w:szCs w:val="32"/>
        </w:rPr>
      </w:pPr>
    </w:p>
    <w:p>
      <w:pPr>
        <w:ind w:firstLine="0" w:firstLineChars="0"/>
        <w:jc w:val="left"/>
        <w:rPr>
          <w:rFonts w:ascii="幼圆" w:eastAsia="幼圆" w:hAnsiTheme="minorEastAsia"/>
          <w:sz w:val="32"/>
          <w:szCs w:val="32"/>
        </w:rPr>
      </w:pPr>
    </w:p>
    <w:p>
      <w:pPr>
        <w:ind w:firstLine="0" w:firstLineChars="0"/>
        <w:jc w:val="left"/>
        <w:rPr>
          <w:rFonts w:ascii="幼圆" w:eastAsia="幼圆" w:hAnsiTheme="minorEastAsia"/>
          <w:sz w:val="32"/>
          <w:szCs w:val="32"/>
        </w:rPr>
        <w:sectPr>
          <w:footerReference r:id="rId12" w:type="default"/>
          <w:type w:val="continuous"/>
          <w:pgSz w:w="23757" w:h="16783" w:orient="landscape"/>
          <w:pgMar w:top="1440" w:right="1588" w:bottom="1440" w:left="1588" w:header="851" w:footer="992" w:gutter="0"/>
          <w:pgNumType w:fmt="upperRoman" w:start="1"/>
          <w:cols w:space="1401" w:num="2"/>
          <w:docGrid w:type="lines" w:linePitch="312" w:charSpace="0"/>
        </w:sectPr>
      </w:pPr>
    </w:p>
    <w:p>
      <w:pPr>
        <w:ind w:firstLine="0" w:firstLineChars="0"/>
        <w:jc w:val="left"/>
        <w:rPr>
          <w:rFonts w:ascii="幼圆" w:eastAsia="幼圆" w:hAnsiTheme="minorEastAsia"/>
          <w:sz w:val="32"/>
          <w:szCs w:val="32"/>
        </w:rPr>
        <w:sectPr>
          <w:footerReference r:id="rId13" w:type="default"/>
          <w:pgSz w:w="23757" w:h="16783" w:orient="landscape"/>
          <w:pgMar w:top="1440" w:right="1588" w:bottom="1440" w:left="1588" w:header="851" w:footer="992" w:gutter="0"/>
          <w:pgNumType w:fmt="upperRoman" w:start="1"/>
          <w:cols w:space="1401" w:num="2"/>
          <w:docGrid w:type="lines" w:linePitch="312" w:charSpace="0"/>
        </w:sectPr>
      </w:pPr>
    </w:p>
    <w:p>
      <w:pPr>
        <w:ind w:firstLine="198" w:firstLineChars="62"/>
        <w:jc w:val="left"/>
        <w:rPr>
          <w:rFonts w:ascii="幼圆" w:eastAsia="幼圆" w:hAnsiTheme="minorEastAsia"/>
          <w:sz w:val="32"/>
          <w:szCs w:val="32"/>
        </w:rPr>
      </w:pPr>
    </w:p>
    <w:p>
      <w:pPr>
        <w:ind w:firstLine="198" w:firstLineChars="62"/>
        <w:jc w:val="left"/>
        <w:rPr>
          <w:rFonts w:ascii="幼圆" w:eastAsia="幼圆" w:hAnsiTheme="minorEastAsia"/>
          <w:sz w:val="32"/>
          <w:szCs w:val="32"/>
        </w:rPr>
      </w:pPr>
    </w:p>
    <w:p>
      <w:pPr>
        <w:ind w:firstLine="198" w:firstLineChars="62"/>
        <w:jc w:val="left"/>
        <w:rPr>
          <w:rFonts w:ascii="幼圆" w:eastAsia="幼圆" w:hAnsiTheme="minorEastAsia"/>
          <w:sz w:val="32"/>
          <w:szCs w:val="32"/>
        </w:rPr>
      </w:pPr>
    </w:p>
    <w:p>
      <w:pPr>
        <w:ind w:firstLine="198" w:firstLineChars="62"/>
        <w:jc w:val="left"/>
        <w:rPr>
          <w:rFonts w:ascii="幼圆" w:eastAsia="幼圆" w:hAnsiTheme="minorEastAsia"/>
          <w:sz w:val="32"/>
          <w:szCs w:val="32"/>
        </w:rPr>
      </w:pPr>
    </w:p>
    <w:p>
      <w:pPr>
        <w:ind w:firstLine="198" w:firstLineChars="62"/>
        <w:jc w:val="left"/>
        <w:rPr>
          <w:rFonts w:ascii="幼圆" w:eastAsia="幼圆" w:hAnsiTheme="minorEastAsia"/>
          <w:sz w:val="32"/>
          <w:szCs w:val="32"/>
        </w:rPr>
      </w:pPr>
    </w:p>
    <w:p>
      <w:pPr>
        <w:ind w:firstLine="198" w:firstLineChars="62"/>
        <w:jc w:val="left"/>
        <w:rPr>
          <w:rFonts w:ascii="幼圆" w:eastAsia="幼圆" w:hAnsiTheme="minorEastAsia"/>
          <w:sz w:val="32"/>
          <w:szCs w:val="32"/>
        </w:rPr>
      </w:pPr>
      <w:r>
        <w:rPr>
          <w:rFonts w:ascii="幼圆" w:eastAsia="幼圆" w:hAnsiTheme="minorEastAsia"/>
          <w:sz w:val="32"/>
          <w:szCs w:val="32"/>
        </w:rPr>
        <w:drawing>
          <wp:inline distT="0" distB="0" distL="0" distR="0">
            <wp:extent cx="6466840" cy="331533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9" cstate="print">
                      <a:extLst>
                        <a:ext uri="{28A0092B-C50C-407E-A947-70E740481C1C}">
                          <a14:useLocalDpi xmlns:a14="http://schemas.microsoft.com/office/drawing/2010/main" val="0"/>
                        </a:ext>
                      </a:extLst>
                    </a:blip>
                    <a:srcRect l="3619" t="10699" r="4094" b="27587"/>
                    <a:stretch>
                      <a:fillRect/>
                    </a:stretch>
                  </pic:blipFill>
                  <pic:spPr>
                    <a:xfrm>
                      <a:off x="0" y="0"/>
                      <a:ext cx="6482778" cy="3323474"/>
                    </a:xfrm>
                    <a:prstGeom prst="rect">
                      <a:avLst/>
                    </a:prstGeom>
                    <a:ln>
                      <a:noFill/>
                    </a:ln>
                  </pic:spPr>
                </pic:pic>
              </a:graphicData>
            </a:graphic>
          </wp:inline>
        </w:drawing>
      </w:r>
    </w:p>
    <w:p>
      <w:pPr>
        <w:ind w:firstLine="198" w:firstLineChars="62"/>
        <w:jc w:val="left"/>
        <w:rPr>
          <w:rFonts w:ascii="幼圆" w:eastAsia="幼圆" w:hAnsiTheme="minorEastAsia"/>
          <w:sz w:val="32"/>
          <w:szCs w:val="32"/>
        </w:rPr>
      </w:pPr>
      <w:r>
        <w:rPr>
          <w:rFonts w:ascii="幼圆" w:eastAsia="幼圆" w:hAnsiTheme="minorEastAsia"/>
          <w:sz w:val="32"/>
          <w:szCs w:val="32"/>
        </w:rPr>
        <w:drawing>
          <wp:inline distT="0" distB="0" distL="0" distR="0">
            <wp:extent cx="6202045" cy="7576820"/>
            <wp:effectExtent l="0" t="0" r="8255"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0" cstate="print">
                      <a:extLst>
                        <a:ext uri="{28A0092B-C50C-407E-A947-70E740481C1C}">
                          <a14:useLocalDpi xmlns:a14="http://schemas.microsoft.com/office/drawing/2010/main" val="0"/>
                        </a:ext>
                      </a:extLst>
                    </a:blip>
                    <a:srcRect l="10896" t="-1" r="5121" b="25398"/>
                    <a:stretch>
                      <a:fillRect/>
                    </a:stretch>
                  </pic:blipFill>
                  <pic:spPr>
                    <a:xfrm>
                      <a:off x="0" y="0"/>
                      <a:ext cx="6214926" cy="7592475"/>
                    </a:xfrm>
                    <a:prstGeom prst="rect">
                      <a:avLst/>
                    </a:prstGeom>
                    <a:ln>
                      <a:noFill/>
                    </a:ln>
                  </pic:spPr>
                </pic:pic>
              </a:graphicData>
            </a:graphic>
          </wp:inline>
        </w:drawing>
      </w:r>
    </w:p>
    <w:p>
      <w:pPr>
        <w:widowControl/>
        <w:ind w:firstLine="0" w:firstLineChars="0"/>
        <w:jc w:val="left"/>
        <w:rPr>
          <w:rFonts w:ascii="幼圆" w:eastAsia="幼圆" w:hAnsiTheme="minorEastAsia"/>
          <w:sz w:val="32"/>
          <w:szCs w:val="32"/>
        </w:rPr>
        <w:sectPr>
          <w:footerReference r:id="rId14" w:type="default"/>
          <w:type w:val="continuous"/>
          <w:pgSz w:w="23757" w:h="16783" w:orient="landscape"/>
          <w:pgMar w:top="1440" w:right="1588" w:bottom="1440" w:left="1588" w:header="851" w:footer="992" w:gutter="0"/>
          <w:pgNumType w:fmt="upperRoman" w:start="1"/>
          <w:cols w:space="1401" w:num="2"/>
          <w:docGrid w:type="lines" w:linePitch="312" w:charSpace="0"/>
        </w:sectPr>
      </w:pPr>
      <w:r>
        <w:rPr>
          <w:rFonts w:ascii="幼圆" w:eastAsia="幼圆" w:hAnsiTheme="minorEastAsia"/>
          <w:sz w:val="32"/>
          <w:szCs w:val="32"/>
        </w:rPr>
        <w:br w:type="page"/>
      </w:r>
    </w:p>
    <w:p>
      <w:pPr>
        <w:widowControl/>
        <w:ind w:firstLine="0" w:firstLineChars="0"/>
        <w:jc w:val="left"/>
        <w:rPr>
          <w:rFonts w:ascii="微软雅黑" w:hAnsi="微软雅黑" w:eastAsia="微软雅黑"/>
          <w:bCs/>
          <w:sz w:val="52"/>
          <w:szCs w:val="52"/>
        </w:rPr>
        <w:sectPr>
          <w:footerReference r:id="rId15" w:type="default"/>
          <w:type w:val="continuous"/>
          <w:pgSz w:w="23757" w:h="16783" w:orient="landscape"/>
          <w:pgMar w:top="1440" w:right="1588" w:bottom="1440" w:left="1588" w:header="851" w:footer="992" w:gutter="0"/>
          <w:pgNumType w:fmt="upperRoman" w:start="1"/>
          <w:cols w:space="1401" w:num="2"/>
          <w:docGrid w:type="lines" w:linePitch="312" w:charSpace="0"/>
        </w:sectPr>
      </w:pPr>
    </w:p>
    <w:p>
      <w:pPr>
        <w:ind w:firstLine="0" w:firstLineChars="0"/>
        <w:jc w:val="center"/>
        <w:rPr>
          <w:rFonts w:ascii="微软雅黑" w:hAnsi="微软雅黑" w:eastAsia="微软雅黑"/>
          <w:b/>
          <w:sz w:val="36"/>
        </w:rPr>
      </w:pPr>
      <w:r>
        <w:rPr>
          <w:rFonts w:hint="eastAsia" w:ascii="微软雅黑" w:hAnsi="微软雅黑" w:eastAsia="微软雅黑"/>
          <w:b/>
          <w:sz w:val="36"/>
        </w:rPr>
        <w:t>目  录</w:t>
      </w:r>
    </w:p>
    <w:bookmarkEnd w:id="0"/>
    <w:p>
      <w:pPr>
        <w:pStyle w:val="10"/>
        <w:tabs>
          <w:tab w:val="right" w:leader="dot" w:pos="9580"/>
        </w:tabs>
        <w:spacing w:line="510" w:lineRule="exact"/>
        <w:ind w:firstLine="562"/>
        <w:rPr>
          <w:rFonts w:ascii="宋体" w:hAnsi="宋体" w:cstheme="minorBidi"/>
          <w:b w:val="0"/>
          <w:bCs w:val="0"/>
          <w:caps w:val="0"/>
          <w:sz w:val="28"/>
          <w:szCs w:val="28"/>
        </w:rPr>
      </w:pPr>
      <w:r>
        <w:rPr>
          <w:rFonts w:hint="eastAsia" w:ascii="宋体" w:hAnsi="宋体" w:cstheme="minorEastAsia"/>
          <w:sz w:val="28"/>
          <w:szCs w:val="28"/>
        </w:rPr>
        <w:fldChar w:fldCharType="begin"/>
      </w:r>
      <w:r>
        <w:rPr>
          <w:rFonts w:hint="eastAsia" w:ascii="宋体" w:hAnsi="宋体" w:cstheme="minorEastAsia"/>
          <w:sz w:val="28"/>
          <w:szCs w:val="28"/>
        </w:rPr>
        <w:instrText xml:space="preserve"> TOC \o "1-2" \h \z \u </w:instrText>
      </w:r>
      <w:r>
        <w:rPr>
          <w:rFonts w:hint="eastAsia" w:ascii="宋体" w:hAnsi="宋体" w:cstheme="minorEastAsia"/>
          <w:sz w:val="28"/>
          <w:szCs w:val="28"/>
        </w:rPr>
        <w:fldChar w:fldCharType="separate"/>
      </w:r>
      <w:r>
        <w:fldChar w:fldCharType="begin"/>
      </w:r>
      <w:r>
        <w:instrText xml:space="preserve"> HYPERLINK \l "_Toc21594822" </w:instrText>
      </w:r>
      <w:r>
        <w:fldChar w:fldCharType="separate"/>
      </w:r>
      <w:r>
        <w:rPr>
          <w:rStyle w:val="20"/>
          <w:rFonts w:hint="eastAsia" w:ascii="宋体" w:hAnsi="宋体"/>
          <w:sz w:val="28"/>
          <w:szCs w:val="28"/>
        </w:rPr>
        <w:t>第一章</w:t>
      </w:r>
      <w:r>
        <w:rPr>
          <w:rStyle w:val="20"/>
          <w:rFonts w:ascii="宋体" w:hAnsi="宋体"/>
          <w:sz w:val="28"/>
          <w:szCs w:val="28"/>
        </w:rPr>
        <w:t xml:space="preserve"> </w:t>
      </w:r>
      <w:r>
        <w:rPr>
          <w:rStyle w:val="20"/>
          <w:rFonts w:hint="eastAsia" w:ascii="宋体" w:hAnsi="宋体"/>
          <w:sz w:val="28"/>
          <w:szCs w:val="28"/>
        </w:rPr>
        <w:t>规划总纲</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_Toc21594822 \h </w:instrText>
      </w:r>
      <w:r>
        <w:rPr>
          <w:rFonts w:ascii="宋体" w:hAnsi="宋体"/>
          <w:sz w:val="28"/>
          <w:szCs w:val="28"/>
        </w:rPr>
        <w:fldChar w:fldCharType="separate"/>
      </w:r>
      <w:r>
        <w:rPr>
          <w:rFonts w:ascii="宋体" w:hAnsi="宋体"/>
          <w:sz w:val="28"/>
          <w:szCs w:val="28"/>
        </w:rPr>
        <w:t>1</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firstLine="400"/>
        <w:rPr>
          <w:rFonts w:ascii="宋体" w:hAnsi="宋体" w:cstheme="minorBidi"/>
          <w:smallCaps w:val="0"/>
          <w:sz w:val="28"/>
          <w:szCs w:val="28"/>
        </w:rPr>
      </w:pPr>
      <w:r>
        <w:fldChar w:fldCharType="begin"/>
      </w:r>
      <w:r>
        <w:instrText xml:space="preserve"> HYPERLINK \l "_Toc21594823" </w:instrText>
      </w:r>
      <w:r>
        <w:fldChar w:fldCharType="separate"/>
      </w:r>
      <w:r>
        <w:rPr>
          <w:rStyle w:val="20"/>
          <w:rFonts w:hint="eastAsia" w:ascii="宋体" w:hAnsi="宋体"/>
          <w:sz w:val="28"/>
          <w:szCs w:val="28"/>
        </w:rPr>
        <w:t>一、规划背景</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_Toc21594823 \h </w:instrText>
      </w:r>
      <w:r>
        <w:rPr>
          <w:rFonts w:ascii="宋体" w:hAnsi="宋体"/>
          <w:sz w:val="28"/>
          <w:szCs w:val="28"/>
        </w:rPr>
        <w:fldChar w:fldCharType="separate"/>
      </w:r>
      <w:r>
        <w:rPr>
          <w:rFonts w:ascii="宋体" w:hAnsi="宋体"/>
          <w:sz w:val="28"/>
          <w:szCs w:val="28"/>
        </w:rPr>
        <w:t>1</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firstLine="400"/>
        <w:rPr>
          <w:rFonts w:ascii="宋体" w:hAnsi="宋体" w:cstheme="minorBidi"/>
          <w:smallCaps w:val="0"/>
          <w:sz w:val="28"/>
          <w:szCs w:val="28"/>
        </w:rPr>
      </w:pPr>
      <w:r>
        <w:fldChar w:fldCharType="begin"/>
      </w:r>
      <w:r>
        <w:instrText xml:space="preserve"> HYPERLINK \l "_Toc21594824" </w:instrText>
      </w:r>
      <w:r>
        <w:fldChar w:fldCharType="separate"/>
      </w:r>
      <w:r>
        <w:rPr>
          <w:rStyle w:val="20"/>
          <w:rFonts w:hint="eastAsia" w:ascii="宋体" w:hAnsi="宋体"/>
          <w:sz w:val="28"/>
          <w:szCs w:val="28"/>
        </w:rPr>
        <w:t>二、规划范围</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_Toc21594824 \h </w:instrText>
      </w:r>
      <w:r>
        <w:rPr>
          <w:rFonts w:ascii="宋体" w:hAnsi="宋体"/>
          <w:sz w:val="28"/>
          <w:szCs w:val="28"/>
        </w:rPr>
        <w:fldChar w:fldCharType="separate"/>
      </w:r>
      <w:r>
        <w:rPr>
          <w:rFonts w:ascii="宋体" w:hAnsi="宋体"/>
          <w:sz w:val="28"/>
          <w:szCs w:val="28"/>
        </w:rPr>
        <w:t>3</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left="278" w:firstLine="400"/>
        <w:rPr>
          <w:rFonts w:ascii="宋体" w:hAnsi="宋体" w:cstheme="minorBidi"/>
          <w:smallCaps w:val="0"/>
          <w:sz w:val="28"/>
          <w:szCs w:val="28"/>
        </w:rPr>
      </w:pPr>
      <w:r>
        <w:fldChar w:fldCharType="begin"/>
      </w:r>
      <w:r>
        <w:instrText xml:space="preserve"> HYPERLINK \l "_Toc21594825" </w:instrText>
      </w:r>
      <w:r>
        <w:fldChar w:fldCharType="separate"/>
      </w:r>
      <w:r>
        <w:rPr>
          <w:rStyle w:val="20"/>
          <w:rFonts w:hint="eastAsia" w:ascii="宋体" w:hAnsi="宋体"/>
          <w:sz w:val="28"/>
          <w:szCs w:val="28"/>
        </w:rPr>
        <w:t>三、规划期限</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_Toc21594825 \h </w:instrText>
      </w:r>
      <w:r>
        <w:rPr>
          <w:rFonts w:ascii="宋体" w:hAnsi="宋体"/>
          <w:sz w:val="28"/>
          <w:szCs w:val="28"/>
        </w:rPr>
        <w:fldChar w:fldCharType="separate"/>
      </w:r>
      <w:r>
        <w:rPr>
          <w:rFonts w:ascii="宋体" w:hAnsi="宋体"/>
          <w:sz w:val="28"/>
          <w:szCs w:val="28"/>
        </w:rPr>
        <w:t>3</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firstLine="400"/>
        <w:rPr>
          <w:rFonts w:ascii="宋体" w:hAnsi="宋体" w:cstheme="minorBidi"/>
          <w:smallCaps w:val="0"/>
          <w:sz w:val="28"/>
          <w:szCs w:val="28"/>
        </w:rPr>
      </w:pPr>
      <w:r>
        <w:fldChar w:fldCharType="begin"/>
      </w:r>
      <w:r>
        <w:instrText xml:space="preserve"> HYPERLINK \l "_Toc21594826" </w:instrText>
      </w:r>
      <w:r>
        <w:fldChar w:fldCharType="separate"/>
      </w:r>
      <w:r>
        <w:rPr>
          <w:rStyle w:val="20"/>
          <w:rFonts w:hint="eastAsia" w:ascii="宋体" w:hAnsi="宋体"/>
          <w:sz w:val="28"/>
          <w:szCs w:val="28"/>
        </w:rPr>
        <w:t>四、规划性质</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_Toc21594826 \h </w:instrText>
      </w:r>
      <w:r>
        <w:rPr>
          <w:rFonts w:ascii="宋体" w:hAnsi="宋体"/>
          <w:sz w:val="28"/>
          <w:szCs w:val="28"/>
        </w:rPr>
        <w:fldChar w:fldCharType="separate"/>
      </w:r>
      <w:r>
        <w:rPr>
          <w:rFonts w:ascii="宋体" w:hAnsi="宋体"/>
          <w:sz w:val="28"/>
          <w:szCs w:val="28"/>
        </w:rPr>
        <w:t>3</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firstLine="400"/>
        <w:rPr>
          <w:rFonts w:ascii="宋体" w:hAnsi="宋体" w:cstheme="minorBidi"/>
          <w:smallCaps w:val="0"/>
          <w:sz w:val="28"/>
          <w:szCs w:val="28"/>
        </w:rPr>
      </w:pPr>
      <w:r>
        <w:fldChar w:fldCharType="begin"/>
      </w:r>
      <w:r>
        <w:instrText xml:space="preserve"> HYPERLINK \l "_Toc21594827" </w:instrText>
      </w:r>
      <w:r>
        <w:fldChar w:fldCharType="separate"/>
      </w:r>
      <w:r>
        <w:rPr>
          <w:rStyle w:val="20"/>
          <w:rFonts w:hint="eastAsia" w:ascii="宋体" w:hAnsi="宋体"/>
          <w:sz w:val="28"/>
          <w:szCs w:val="28"/>
        </w:rPr>
        <w:t>五、规划依据</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_Toc21594827 \h </w:instrText>
      </w:r>
      <w:r>
        <w:rPr>
          <w:rFonts w:ascii="宋体" w:hAnsi="宋体"/>
          <w:sz w:val="28"/>
          <w:szCs w:val="28"/>
        </w:rPr>
        <w:fldChar w:fldCharType="separate"/>
      </w:r>
      <w:r>
        <w:rPr>
          <w:rFonts w:ascii="宋体" w:hAnsi="宋体"/>
          <w:sz w:val="28"/>
          <w:szCs w:val="28"/>
        </w:rPr>
        <w:t>4</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firstLine="400"/>
        <w:rPr>
          <w:rFonts w:ascii="宋体" w:hAnsi="宋体" w:cstheme="minorBidi"/>
          <w:smallCaps w:val="0"/>
          <w:sz w:val="28"/>
          <w:szCs w:val="28"/>
        </w:rPr>
      </w:pPr>
      <w:r>
        <w:fldChar w:fldCharType="begin"/>
      </w:r>
      <w:r>
        <w:instrText xml:space="preserve"> HYPERLINK \l "_Toc21594828" </w:instrText>
      </w:r>
      <w:r>
        <w:fldChar w:fldCharType="separate"/>
      </w:r>
      <w:r>
        <w:rPr>
          <w:rStyle w:val="20"/>
          <w:rFonts w:hint="eastAsia" w:ascii="宋体" w:hAnsi="宋体"/>
          <w:sz w:val="28"/>
          <w:szCs w:val="28"/>
        </w:rPr>
        <w:t>六、技术路线</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_Toc21594828 \h </w:instrText>
      </w:r>
      <w:r>
        <w:rPr>
          <w:rFonts w:ascii="宋体" w:hAnsi="宋体"/>
          <w:sz w:val="28"/>
          <w:szCs w:val="28"/>
        </w:rPr>
        <w:fldChar w:fldCharType="separate"/>
      </w:r>
      <w:r>
        <w:rPr>
          <w:rFonts w:ascii="宋体" w:hAnsi="宋体"/>
          <w:sz w:val="28"/>
          <w:szCs w:val="28"/>
        </w:rPr>
        <w:t>5</w:t>
      </w:r>
      <w:r>
        <w:rPr>
          <w:rFonts w:ascii="宋体" w:hAnsi="宋体"/>
          <w:sz w:val="28"/>
          <w:szCs w:val="28"/>
        </w:rPr>
        <w:fldChar w:fldCharType="end"/>
      </w:r>
      <w:r>
        <w:rPr>
          <w:rFonts w:ascii="宋体" w:hAnsi="宋体"/>
          <w:sz w:val="28"/>
          <w:szCs w:val="28"/>
        </w:rPr>
        <w:fldChar w:fldCharType="end"/>
      </w:r>
    </w:p>
    <w:p>
      <w:pPr>
        <w:pStyle w:val="10"/>
        <w:tabs>
          <w:tab w:val="right" w:leader="dot" w:pos="9580"/>
        </w:tabs>
        <w:spacing w:line="510" w:lineRule="exact"/>
        <w:ind w:firstLine="402"/>
        <w:rPr>
          <w:rFonts w:ascii="宋体" w:hAnsi="宋体" w:cstheme="minorBidi"/>
          <w:b w:val="0"/>
          <w:bCs w:val="0"/>
          <w:caps w:val="0"/>
          <w:sz w:val="28"/>
          <w:szCs w:val="28"/>
        </w:rPr>
      </w:pPr>
      <w:r>
        <w:fldChar w:fldCharType="begin"/>
      </w:r>
      <w:r>
        <w:instrText xml:space="preserve"> HYPERLINK \l "_Toc21594829" </w:instrText>
      </w:r>
      <w:r>
        <w:fldChar w:fldCharType="separate"/>
      </w:r>
      <w:r>
        <w:rPr>
          <w:rStyle w:val="20"/>
          <w:rFonts w:hint="eastAsia" w:ascii="宋体" w:hAnsi="宋体"/>
          <w:sz w:val="28"/>
          <w:szCs w:val="28"/>
        </w:rPr>
        <w:t>第二章</w:t>
      </w:r>
      <w:r>
        <w:rPr>
          <w:rStyle w:val="20"/>
          <w:rFonts w:ascii="宋体" w:hAnsi="宋体"/>
          <w:sz w:val="28"/>
          <w:szCs w:val="28"/>
        </w:rPr>
        <w:t xml:space="preserve"> </w:t>
      </w:r>
      <w:r>
        <w:rPr>
          <w:rStyle w:val="20"/>
          <w:rFonts w:hint="eastAsia" w:ascii="宋体" w:hAnsi="宋体"/>
          <w:sz w:val="28"/>
          <w:szCs w:val="28"/>
        </w:rPr>
        <w:t>区域概况</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_Toc21594829 \h </w:instrText>
      </w:r>
      <w:r>
        <w:rPr>
          <w:rFonts w:ascii="宋体" w:hAnsi="宋体"/>
          <w:sz w:val="28"/>
          <w:szCs w:val="28"/>
        </w:rPr>
        <w:fldChar w:fldCharType="separate"/>
      </w:r>
      <w:r>
        <w:rPr>
          <w:rFonts w:ascii="宋体" w:hAnsi="宋体"/>
          <w:sz w:val="28"/>
          <w:szCs w:val="28"/>
        </w:rPr>
        <w:t>6</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firstLine="400"/>
        <w:rPr>
          <w:rFonts w:ascii="宋体" w:hAnsi="宋体" w:cstheme="minorBidi"/>
          <w:smallCaps w:val="0"/>
          <w:sz w:val="28"/>
          <w:szCs w:val="28"/>
        </w:rPr>
      </w:pPr>
      <w:r>
        <w:fldChar w:fldCharType="begin"/>
      </w:r>
      <w:r>
        <w:instrText xml:space="preserve"> HYPERLINK \l "_Toc21594830" </w:instrText>
      </w:r>
      <w:r>
        <w:fldChar w:fldCharType="separate"/>
      </w:r>
      <w:r>
        <w:rPr>
          <w:rStyle w:val="20"/>
          <w:rFonts w:hint="eastAsia" w:ascii="宋体" w:hAnsi="宋体"/>
          <w:sz w:val="28"/>
          <w:szCs w:val="28"/>
        </w:rPr>
        <w:t>一、地理区位概况</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_Toc21594830 \h </w:instrText>
      </w:r>
      <w:r>
        <w:rPr>
          <w:rFonts w:ascii="宋体" w:hAnsi="宋体"/>
          <w:sz w:val="28"/>
          <w:szCs w:val="28"/>
        </w:rPr>
        <w:fldChar w:fldCharType="separate"/>
      </w:r>
      <w:r>
        <w:rPr>
          <w:rFonts w:ascii="宋体" w:hAnsi="宋体"/>
          <w:sz w:val="28"/>
          <w:szCs w:val="28"/>
        </w:rPr>
        <w:t>6</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firstLine="400"/>
        <w:rPr>
          <w:rFonts w:ascii="宋体" w:hAnsi="宋体" w:cstheme="minorBidi"/>
          <w:smallCaps w:val="0"/>
          <w:sz w:val="28"/>
          <w:szCs w:val="28"/>
        </w:rPr>
      </w:pPr>
      <w:r>
        <w:fldChar w:fldCharType="begin"/>
      </w:r>
      <w:r>
        <w:instrText xml:space="preserve"> HYPERLINK \l "_Toc21594831" </w:instrText>
      </w:r>
      <w:r>
        <w:fldChar w:fldCharType="separate"/>
      </w:r>
      <w:r>
        <w:rPr>
          <w:rStyle w:val="20"/>
          <w:rFonts w:hint="eastAsia" w:ascii="宋体" w:hAnsi="宋体"/>
          <w:sz w:val="28"/>
          <w:szCs w:val="28"/>
        </w:rPr>
        <w:t>二、社会经济概况</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_Toc21594831 \h </w:instrText>
      </w:r>
      <w:r>
        <w:rPr>
          <w:rFonts w:ascii="宋体" w:hAnsi="宋体"/>
          <w:sz w:val="28"/>
          <w:szCs w:val="28"/>
        </w:rPr>
        <w:fldChar w:fldCharType="separate"/>
      </w:r>
      <w:r>
        <w:rPr>
          <w:rFonts w:ascii="宋体" w:hAnsi="宋体"/>
          <w:sz w:val="28"/>
          <w:szCs w:val="28"/>
        </w:rPr>
        <w:t>7</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firstLine="400"/>
        <w:rPr>
          <w:rFonts w:ascii="宋体" w:hAnsi="宋体" w:cstheme="minorBidi"/>
          <w:smallCaps w:val="0"/>
          <w:sz w:val="28"/>
          <w:szCs w:val="28"/>
        </w:rPr>
      </w:pPr>
      <w:r>
        <w:fldChar w:fldCharType="begin"/>
      </w:r>
      <w:r>
        <w:instrText xml:space="preserve"> HYPERLINK \l "_Toc21594832" </w:instrText>
      </w:r>
      <w:r>
        <w:fldChar w:fldCharType="separate"/>
      </w:r>
      <w:r>
        <w:rPr>
          <w:rStyle w:val="20"/>
          <w:rFonts w:hint="eastAsia" w:ascii="宋体" w:hAnsi="宋体"/>
          <w:sz w:val="28"/>
          <w:szCs w:val="28"/>
        </w:rPr>
        <w:t>三、自然环境概况</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_Toc21594832 \h </w:instrText>
      </w:r>
      <w:r>
        <w:rPr>
          <w:rFonts w:ascii="宋体" w:hAnsi="宋体"/>
          <w:sz w:val="28"/>
          <w:szCs w:val="28"/>
        </w:rPr>
        <w:fldChar w:fldCharType="separate"/>
      </w:r>
      <w:r>
        <w:rPr>
          <w:rFonts w:ascii="宋体" w:hAnsi="宋体"/>
          <w:sz w:val="28"/>
          <w:szCs w:val="28"/>
        </w:rPr>
        <w:t>9</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firstLine="400"/>
        <w:rPr>
          <w:rFonts w:ascii="宋体" w:hAnsi="宋体" w:cstheme="minorBidi"/>
          <w:smallCaps w:val="0"/>
          <w:sz w:val="28"/>
          <w:szCs w:val="28"/>
        </w:rPr>
      </w:pPr>
      <w:r>
        <w:fldChar w:fldCharType="begin"/>
      </w:r>
      <w:r>
        <w:instrText xml:space="preserve"> HYPERLINK \l "_Toc21594833" </w:instrText>
      </w:r>
      <w:r>
        <w:fldChar w:fldCharType="separate"/>
      </w:r>
      <w:r>
        <w:rPr>
          <w:rStyle w:val="20"/>
          <w:rFonts w:hint="eastAsia" w:ascii="宋体" w:hAnsi="宋体"/>
          <w:sz w:val="28"/>
          <w:szCs w:val="28"/>
        </w:rPr>
        <w:t>四、自然资源概况</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_Toc21594833 \h </w:instrText>
      </w:r>
      <w:r>
        <w:rPr>
          <w:rFonts w:ascii="宋体" w:hAnsi="宋体"/>
          <w:sz w:val="28"/>
          <w:szCs w:val="28"/>
        </w:rPr>
        <w:fldChar w:fldCharType="separate"/>
      </w:r>
      <w:r>
        <w:rPr>
          <w:rFonts w:ascii="宋体" w:hAnsi="宋体"/>
          <w:sz w:val="28"/>
          <w:szCs w:val="28"/>
        </w:rPr>
        <w:t>10</w:t>
      </w:r>
      <w:r>
        <w:rPr>
          <w:rFonts w:ascii="宋体" w:hAnsi="宋体"/>
          <w:sz w:val="28"/>
          <w:szCs w:val="28"/>
        </w:rPr>
        <w:fldChar w:fldCharType="end"/>
      </w:r>
      <w:r>
        <w:rPr>
          <w:rFonts w:ascii="宋体" w:hAnsi="宋体"/>
          <w:sz w:val="28"/>
          <w:szCs w:val="28"/>
        </w:rPr>
        <w:fldChar w:fldCharType="end"/>
      </w:r>
    </w:p>
    <w:p>
      <w:pPr>
        <w:pStyle w:val="10"/>
        <w:tabs>
          <w:tab w:val="right" w:leader="dot" w:pos="9580"/>
        </w:tabs>
        <w:spacing w:line="510" w:lineRule="exact"/>
        <w:ind w:firstLine="402"/>
        <w:rPr>
          <w:rFonts w:ascii="宋体" w:hAnsi="宋体" w:cstheme="minorBidi"/>
          <w:b w:val="0"/>
          <w:bCs w:val="0"/>
          <w:caps w:val="0"/>
          <w:sz w:val="28"/>
          <w:szCs w:val="28"/>
        </w:rPr>
      </w:pPr>
      <w:r>
        <w:fldChar w:fldCharType="begin"/>
      </w:r>
      <w:r>
        <w:instrText xml:space="preserve"> HYPERLINK \l "_Toc21594834" </w:instrText>
      </w:r>
      <w:r>
        <w:fldChar w:fldCharType="separate"/>
      </w:r>
      <w:r>
        <w:rPr>
          <w:rStyle w:val="20"/>
          <w:rFonts w:hint="eastAsia" w:ascii="宋体" w:hAnsi="宋体"/>
          <w:sz w:val="28"/>
          <w:szCs w:val="28"/>
        </w:rPr>
        <w:t>第三章</w:t>
      </w:r>
      <w:r>
        <w:rPr>
          <w:rStyle w:val="20"/>
          <w:rFonts w:ascii="宋体" w:hAnsi="宋体"/>
          <w:sz w:val="28"/>
          <w:szCs w:val="28"/>
        </w:rPr>
        <w:t xml:space="preserve"> </w:t>
      </w:r>
      <w:r>
        <w:rPr>
          <w:rStyle w:val="20"/>
          <w:rFonts w:hint="eastAsia" w:ascii="宋体" w:hAnsi="宋体"/>
          <w:sz w:val="28"/>
          <w:szCs w:val="28"/>
        </w:rPr>
        <w:t>主导产业发展现状分析</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_Toc21594834 \h </w:instrText>
      </w:r>
      <w:r>
        <w:rPr>
          <w:rFonts w:ascii="宋体" w:hAnsi="宋体"/>
          <w:sz w:val="28"/>
          <w:szCs w:val="28"/>
        </w:rPr>
        <w:fldChar w:fldCharType="separate"/>
      </w:r>
      <w:r>
        <w:rPr>
          <w:rFonts w:ascii="宋体" w:hAnsi="宋体"/>
          <w:sz w:val="28"/>
          <w:szCs w:val="28"/>
        </w:rPr>
        <w:t>11</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firstLine="400"/>
        <w:rPr>
          <w:rFonts w:ascii="宋体" w:hAnsi="宋体" w:cstheme="minorBidi"/>
          <w:smallCaps w:val="0"/>
          <w:sz w:val="28"/>
          <w:szCs w:val="28"/>
        </w:rPr>
      </w:pPr>
      <w:r>
        <w:fldChar w:fldCharType="begin"/>
      </w:r>
      <w:r>
        <w:instrText xml:space="preserve"> HYPERLINK \l "_Toc21594835" </w:instrText>
      </w:r>
      <w:r>
        <w:fldChar w:fldCharType="separate"/>
      </w:r>
      <w:r>
        <w:rPr>
          <w:rStyle w:val="20"/>
          <w:rFonts w:hint="eastAsia" w:ascii="宋体" w:hAnsi="宋体"/>
          <w:sz w:val="28"/>
          <w:szCs w:val="28"/>
        </w:rPr>
        <w:t>一、主导产业种植现状</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_Toc21594835 \h </w:instrText>
      </w:r>
      <w:r>
        <w:rPr>
          <w:rFonts w:ascii="宋体" w:hAnsi="宋体"/>
          <w:sz w:val="28"/>
          <w:szCs w:val="28"/>
        </w:rPr>
        <w:fldChar w:fldCharType="separate"/>
      </w:r>
      <w:r>
        <w:rPr>
          <w:rFonts w:ascii="宋体" w:hAnsi="宋体"/>
          <w:sz w:val="28"/>
          <w:szCs w:val="28"/>
        </w:rPr>
        <w:t>11</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firstLine="400"/>
        <w:rPr>
          <w:rFonts w:ascii="宋体" w:hAnsi="宋体" w:cstheme="minorBidi"/>
          <w:smallCaps w:val="0"/>
          <w:sz w:val="28"/>
          <w:szCs w:val="28"/>
        </w:rPr>
      </w:pPr>
      <w:r>
        <w:fldChar w:fldCharType="begin"/>
      </w:r>
      <w:r>
        <w:instrText xml:space="preserve"> HYPERLINK \l "_Toc21594836" </w:instrText>
      </w:r>
      <w:r>
        <w:fldChar w:fldCharType="separate"/>
      </w:r>
      <w:r>
        <w:rPr>
          <w:rStyle w:val="20"/>
          <w:rFonts w:hint="eastAsia" w:ascii="宋体" w:hAnsi="宋体"/>
          <w:sz w:val="28"/>
          <w:szCs w:val="28"/>
        </w:rPr>
        <w:t>二、主导产业加工条件现状</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_Toc21594836 \h </w:instrText>
      </w:r>
      <w:r>
        <w:rPr>
          <w:rFonts w:ascii="宋体" w:hAnsi="宋体"/>
          <w:sz w:val="28"/>
          <w:szCs w:val="28"/>
        </w:rPr>
        <w:fldChar w:fldCharType="separate"/>
      </w:r>
      <w:r>
        <w:rPr>
          <w:rFonts w:ascii="宋体" w:hAnsi="宋体"/>
          <w:sz w:val="28"/>
          <w:szCs w:val="28"/>
        </w:rPr>
        <w:t>13</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left="278" w:firstLine="400"/>
        <w:rPr>
          <w:rFonts w:ascii="宋体" w:hAnsi="宋体" w:cstheme="minorBidi"/>
          <w:smallCaps w:val="0"/>
          <w:sz w:val="28"/>
          <w:szCs w:val="28"/>
        </w:rPr>
      </w:pPr>
      <w:r>
        <w:fldChar w:fldCharType="begin"/>
      </w:r>
      <w:r>
        <w:instrText xml:space="preserve"> HYPERLINK \l "_Toc21594837" </w:instrText>
      </w:r>
      <w:r>
        <w:fldChar w:fldCharType="separate"/>
      </w:r>
      <w:r>
        <w:rPr>
          <w:rStyle w:val="20"/>
          <w:rFonts w:hint="eastAsia" w:ascii="宋体" w:hAnsi="宋体" w:cs="宋体"/>
          <w:sz w:val="28"/>
          <w:szCs w:val="28"/>
        </w:rPr>
        <w:t>三、主导产业销售与物流情况</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_Toc21594837 \h </w:instrText>
      </w:r>
      <w:r>
        <w:rPr>
          <w:rFonts w:ascii="宋体" w:hAnsi="宋体"/>
          <w:sz w:val="28"/>
          <w:szCs w:val="28"/>
        </w:rPr>
        <w:fldChar w:fldCharType="separate"/>
      </w:r>
      <w:r>
        <w:rPr>
          <w:rFonts w:ascii="宋体" w:hAnsi="宋体"/>
          <w:sz w:val="28"/>
          <w:szCs w:val="28"/>
        </w:rPr>
        <w:t>14</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firstLine="400"/>
        <w:rPr>
          <w:rFonts w:ascii="宋体" w:hAnsi="宋体" w:cstheme="minorBidi"/>
          <w:smallCaps w:val="0"/>
          <w:sz w:val="28"/>
          <w:szCs w:val="28"/>
        </w:rPr>
      </w:pPr>
      <w:r>
        <w:fldChar w:fldCharType="begin"/>
      </w:r>
      <w:r>
        <w:instrText xml:space="preserve"> HYPERLINK \l "_Toc21594838" </w:instrText>
      </w:r>
      <w:r>
        <w:fldChar w:fldCharType="separate"/>
      </w:r>
      <w:r>
        <w:rPr>
          <w:rStyle w:val="20"/>
          <w:rFonts w:hint="eastAsia" w:ascii="宋体" w:hAnsi="宋体" w:cs="宋体"/>
          <w:sz w:val="28"/>
          <w:szCs w:val="28"/>
        </w:rPr>
        <w:t>四、主导产业前景与发展趋势分析</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_Toc21594838 \h </w:instrText>
      </w:r>
      <w:r>
        <w:rPr>
          <w:rFonts w:ascii="宋体" w:hAnsi="宋体"/>
          <w:sz w:val="28"/>
          <w:szCs w:val="28"/>
        </w:rPr>
        <w:fldChar w:fldCharType="separate"/>
      </w:r>
      <w:r>
        <w:rPr>
          <w:rFonts w:ascii="宋体" w:hAnsi="宋体"/>
          <w:sz w:val="28"/>
          <w:szCs w:val="28"/>
        </w:rPr>
        <w:t>16</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firstLine="400"/>
        <w:rPr>
          <w:rFonts w:ascii="宋体" w:hAnsi="宋体" w:cstheme="minorBidi"/>
          <w:smallCaps w:val="0"/>
          <w:sz w:val="28"/>
          <w:szCs w:val="28"/>
        </w:rPr>
      </w:pPr>
      <w:r>
        <w:fldChar w:fldCharType="begin"/>
      </w:r>
      <w:r>
        <w:instrText xml:space="preserve"> HYPERLINK \l "_Toc21594840" </w:instrText>
      </w:r>
      <w:r>
        <w:fldChar w:fldCharType="separate"/>
      </w:r>
      <w:r>
        <w:rPr>
          <w:rStyle w:val="20"/>
          <w:rFonts w:hint="eastAsia" w:ascii="宋体" w:hAnsi="宋体"/>
          <w:sz w:val="28"/>
          <w:szCs w:val="28"/>
        </w:rPr>
        <w:t>五、主导产业市场分析</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_Toc21594840 \h </w:instrText>
      </w:r>
      <w:r>
        <w:rPr>
          <w:rFonts w:ascii="宋体" w:hAnsi="宋体"/>
          <w:sz w:val="28"/>
          <w:szCs w:val="28"/>
        </w:rPr>
        <w:fldChar w:fldCharType="separate"/>
      </w:r>
      <w:r>
        <w:rPr>
          <w:rFonts w:ascii="宋体" w:hAnsi="宋体"/>
          <w:sz w:val="28"/>
          <w:szCs w:val="28"/>
        </w:rPr>
        <w:t>17</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firstLine="400"/>
        <w:rPr>
          <w:rFonts w:ascii="宋体" w:hAnsi="宋体" w:cstheme="minorBidi"/>
          <w:smallCaps w:val="0"/>
          <w:sz w:val="28"/>
          <w:szCs w:val="28"/>
        </w:rPr>
      </w:pPr>
      <w:r>
        <w:fldChar w:fldCharType="begin"/>
      </w:r>
      <w:r>
        <w:instrText xml:space="preserve"> HYPERLINK \l "_Toc21594841" </w:instrText>
      </w:r>
      <w:r>
        <w:fldChar w:fldCharType="separate"/>
      </w:r>
      <w:r>
        <w:rPr>
          <w:rStyle w:val="20"/>
          <w:rFonts w:hint="eastAsia" w:ascii="宋体" w:hAnsi="宋体" w:cs="宋体"/>
          <w:sz w:val="28"/>
          <w:szCs w:val="28"/>
        </w:rPr>
        <w:t>六、主导产业发展</w:t>
      </w:r>
      <w:r>
        <w:rPr>
          <w:rStyle w:val="20"/>
          <w:rFonts w:ascii="宋体" w:hAnsi="宋体" w:cs="宋体"/>
          <w:sz w:val="28"/>
          <w:szCs w:val="28"/>
        </w:rPr>
        <w:t>SWOT</w:t>
      </w:r>
      <w:r>
        <w:rPr>
          <w:rStyle w:val="20"/>
          <w:rFonts w:hint="eastAsia" w:ascii="宋体" w:hAnsi="宋体" w:cs="宋体"/>
          <w:sz w:val="28"/>
          <w:szCs w:val="28"/>
        </w:rPr>
        <w:t>分析</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_Toc21594841 \h </w:instrText>
      </w:r>
      <w:r>
        <w:rPr>
          <w:rFonts w:ascii="宋体" w:hAnsi="宋体"/>
          <w:sz w:val="28"/>
          <w:szCs w:val="28"/>
        </w:rPr>
        <w:fldChar w:fldCharType="separate"/>
      </w:r>
      <w:r>
        <w:rPr>
          <w:rFonts w:ascii="宋体" w:hAnsi="宋体"/>
          <w:sz w:val="28"/>
          <w:szCs w:val="28"/>
        </w:rPr>
        <w:t>19</w:t>
      </w:r>
      <w:r>
        <w:rPr>
          <w:rFonts w:ascii="宋体" w:hAnsi="宋体"/>
          <w:sz w:val="28"/>
          <w:szCs w:val="28"/>
        </w:rPr>
        <w:fldChar w:fldCharType="end"/>
      </w:r>
      <w:r>
        <w:rPr>
          <w:rFonts w:ascii="宋体" w:hAnsi="宋体"/>
          <w:sz w:val="28"/>
          <w:szCs w:val="28"/>
        </w:rPr>
        <w:fldChar w:fldCharType="end"/>
      </w:r>
    </w:p>
    <w:p>
      <w:pPr>
        <w:pStyle w:val="10"/>
        <w:tabs>
          <w:tab w:val="right" w:leader="dot" w:pos="9580"/>
        </w:tabs>
        <w:spacing w:line="510" w:lineRule="exact"/>
        <w:ind w:firstLine="402"/>
        <w:rPr>
          <w:rFonts w:ascii="宋体" w:hAnsi="宋体" w:cstheme="minorBidi"/>
          <w:b w:val="0"/>
          <w:bCs w:val="0"/>
          <w:caps w:val="0"/>
          <w:sz w:val="28"/>
          <w:szCs w:val="28"/>
        </w:rPr>
      </w:pPr>
      <w:r>
        <w:fldChar w:fldCharType="begin"/>
      </w:r>
      <w:r>
        <w:instrText xml:space="preserve"> HYPERLINK \l "_Toc21594842" </w:instrText>
      </w:r>
      <w:r>
        <w:fldChar w:fldCharType="separate"/>
      </w:r>
      <w:r>
        <w:rPr>
          <w:rStyle w:val="20"/>
          <w:rFonts w:hint="eastAsia" w:ascii="宋体" w:hAnsi="宋体"/>
          <w:sz w:val="28"/>
          <w:szCs w:val="28"/>
        </w:rPr>
        <w:t>第四章</w:t>
      </w:r>
      <w:r>
        <w:rPr>
          <w:rStyle w:val="20"/>
          <w:rFonts w:ascii="宋体" w:hAnsi="宋体"/>
          <w:sz w:val="28"/>
          <w:szCs w:val="28"/>
        </w:rPr>
        <w:t xml:space="preserve"> </w:t>
      </w:r>
      <w:r>
        <w:rPr>
          <w:rStyle w:val="20"/>
          <w:rFonts w:hint="eastAsia" w:ascii="宋体" w:hAnsi="宋体"/>
          <w:sz w:val="28"/>
          <w:szCs w:val="28"/>
        </w:rPr>
        <w:t>发展思路</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_Toc21594842 \h </w:instrText>
      </w:r>
      <w:r>
        <w:rPr>
          <w:rFonts w:ascii="宋体" w:hAnsi="宋体"/>
          <w:sz w:val="28"/>
          <w:szCs w:val="28"/>
        </w:rPr>
        <w:fldChar w:fldCharType="separate"/>
      </w:r>
      <w:r>
        <w:rPr>
          <w:rFonts w:ascii="宋体" w:hAnsi="宋体"/>
          <w:sz w:val="28"/>
          <w:szCs w:val="28"/>
        </w:rPr>
        <w:t>24</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firstLine="400"/>
        <w:rPr>
          <w:rFonts w:ascii="宋体" w:hAnsi="宋体" w:cstheme="minorBidi"/>
          <w:smallCaps w:val="0"/>
          <w:sz w:val="28"/>
          <w:szCs w:val="28"/>
        </w:rPr>
      </w:pPr>
      <w:r>
        <w:fldChar w:fldCharType="begin"/>
      </w:r>
      <w:r>
        <w:instrText xml:space="preserve"> HYPERLINK \l "_Toc21594843" </w:instrText>
      </w:r>
      <w:r>
        <w:fldChar w:fldCharType="separate"/>
      </w:r>
      <w:r>
        <w:rPr>
          <w:rStyle w:val="20"/>
          <w:rFonts w:hint="eastAsia" w:ascii="宋体" w:hAnsi="宋体" w:cs="宋体"/>
          <w:sz w:val="28"/>
          <w:szCs w:val="28"/>
        </w:rPr>
        <w:t>一、指导思想</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_Toc21594843 \h </w:instrText>
      </w:r>
      <w:r>
        <w:rPr>
          <w:rFonts w:ascii="宋体" w:hAnsi="宋体"/>
          <w:sz w:val="28"/>
          <w:szCs w:val="28"/>
        </w:rPr>
        <w:fldChar w:fldCharType="separate"/>
      </w:r>
      <w:r>
        <w:rPr>
          <w:rFonts w:ascii="宋体" w:hAnsi="宋体"/>
          <w:sz w:val="28"/>
          <w:szCs w:val="28"/>
        </w:rPr>
        <w:t>24</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firstLine="400"/>
        <w:rPr>
          <w:rFonts w:ascii="宋体" w:hAnsi="宋体" w:cstheme="minorBidi"/>
          <w:smallCaps w:val="0"/>
          <w:sz w:val="28"/>
          <w:szCs w:val="28"/>
        </w:rPr>
      </w:pPr>
      <w:r>
        <w:fldChar w:fldCharType="begin"/>
      </w:r>
      <w:r>
        <w:instrText xml:space="preserve"> HYPERLINK \l "_Toc21594844" </w:instrText>
      </w:r>
      <w:r>
        <w:fldChar w:fldCharType="separate"/>
      </w:r>
      <w:r>
        <w:rPr>
          <w:rStyle w:val="20"/>
          <w:rFonts w:hint="eastAsia" w:ascii="宋体" w:hAnsi="宋体" w:cs="宋体"/>
          <w:sz w:val="28"/>
          <w:szCs w:val="28"/>
        </w:rPr>
        <w:t>二、基本原则</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_Toc21594844 \h </w:instrText>
      </w:r>
      <w:r>
        <w:rPr>
          <w:rFonts w:ascii="宋体" w:hAnsi="宋体"/>
          <w:sz w:val="28"/>
          <w:szCs w:val="28"/>
        </w:rPr>
        <w:fldChar w:fldCharType="separate"/>
      </w:r>
      <w:r>
        <w:rPr>
          <w:rFonts w:ascii="宋体" w:hAnsi="宋体"/>
          <w:sz w:val="28"/>
          <w:szCs w:val="28"/>
        </w:rPr>
        <w:t>24</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firstLine="400"/>
        <w:rPr>
          <w:rFonts w:ascii="宋体" w:hAnsi="宋体" w:cstheme="minorBidi"/>
          <w:smallCaps w:val="0"/>
          <w:sz w:val="28"/>
          <w:szCs w:val="28"/>
        </w:rPr>
      </w:pPr>
      <w:r>
        <w:fldChar w:fldCharType="begin"/>
      </w:r>
      <w:r>
        <w:instrText xml:space="preserve"> HYPERLINK \l "_Toc21594845" </w:instrText>
      </w:r>
      <w:r>
        <w:fldChar w:fldCharType="separate"/>
      </w:r>
      <w:r>
        <w:rPr>
          <w:rStyle w:val="20"/>
          <w:rFonts w:hint="eastAsia" w:ascii="宋体" w:hAnsi="宋体" w:cs="宋体"/>
          <w:sz w:val="28"/>
          <w:szCs w:val="28"/>
        </w:rPr>
        <w:t>三、发展定位</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_Toc21594845 \h </w:instrText>
      </w:r>
      <w:r>
        <w:rPr>
          <w:rFonts w:ascii="宋体" w:hAnsi="宋体"/>
          <w:sz w:val="28"/>
          <w:szCs w:val="28"/>
        </w:rPr>
        <w:fldChar w:fldCharType="separate"/>
      </w:r>
      <w:r>
        <w:rPr>
          <w:rFonts w:ascii="宋体" w:hAnsi="宋体"/>
          <w:sz w:val="28"/>
          <w:szCs w:val="28"/>
        </w:rPr>
        <w:t>25</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firstLine="400"/>
        <w:rPr>
          <w:rFonts w:ascii="宋体" w:hAnsi="宋体" w:cstheme="minorBidi"/>
          <w:smallCaps w:val="0"/>
          <w:sz w:val="28"/>
          <w:szCs w:val="28"/>
        </w:rPr>
      </w:pPr>
      <w:r>
        <w:fldChar w:fldCharType="begin"/>
      </w:r>
      <w:r>
        <w:instrText xml:space="preserve"> HYPERLINK \l "_Toc21594846" </w:instrText>
      </w:r>
      <w:r>
        <w:fldChar w:fldCharType="separate"/>
      </w:r>
      <w:r>
        <w:rPr>
          <w:rStyle w:val="20"/>
          <w:rFonts w:hint="eastAsia" w:ascii="宋体" w:hAnsi="宋体" w:cs="宋体"/>
          <w:sz w:val="28"/>
          <w:szCs w:val="28"/>
        </w:rPr>
        <w:t>四、建设目标</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_Toc21594846 \h </w:instrText>
      </w:r>
      <w:r>
        <w:rPr>
          <w:rFonts w:ascii="宋体" w:hAnsi="宋体"/>
          <w:sz w:val="28"/>
          <w:szCs w:val="28"/>
        </w:rPr>
        <w:fldChar w:fldCharType="separate"/>
      </w:r>
      <w:r>
        <w:rPr>
          <w:rFonts w:ascii="宋体" w:hAnsi="宋体"/>
          <w:sz w:val="28"/>
          <w:szCs w:val="28"/>
        </w:rPr>
        <w:t>26</w:t>
      </w:r>
      <w:r>
        <w:rPr>
          <w:rFonts w:ascii="宋体" w:hAnsi="宋体"/>
          <w:sz w:val="28"/>
          <w:szCs w:val="28"/>
        </w:rPr>
        <w:fldChar w:fldCharType="end"/>
      </w:r>
      <w:r>
        <w:rPr>
          <w:rFonts w:ascii="宋体" w:hAnsi="宋体"/>
          <w:sz w:val="28"/>
          <w:szCs w:val="28"/>
        </w:rPr>
        <w:fldChar w:fldCharType="end"/>
      </w:r>
    </w:p>
    <w:p>
      <w:pPr>
        <w:pStyle w:val="10"/>
        <w:tabs>
          <w:tab w:val="right" w:leader="dot" w:pos="9580"/>
        </w:tabs>
        <w:spacing w:line="510" w:lineRule="exact"/>
        <w:ind w:firstLine="402"/>
        <w:rPr>
          <w:rFonts w:ascii="宋体" w:hAnsi="宋体" w:cstheme="minorBidi"/>
          <w:b w:val="0"/>
          <w:bCs w:val="0"/>
          <w:caps w:val="0"/>
          <w:sz w:val="28"/>
          <w:szCs w:val="28"/>
        </w:rPr>
      </w:pPr>
      <w:r>
        <w:fldChar w:fldCharType="begin"/>
      </w:r>
      <w:r>
        <w:instrText xml:space="preserve"> HYPERLINK \l "_Toc21594847" </w:instrText>
      </w:r>
      <w:r>
        <w:fldChar w:fldCharType="separate"/>
      </w:r>
      <w:r>
        <w:rPr>
          <w:rStyle w:val="20"/>
          <w:rFonts w:hint="eastAsia" w:ascii="宋体" w:hAnsi="宋体"/>
          <w:sz w:val="28"/>
          <w:szCs w:val="28"/>
        </w:rPr>
        <w:t>第五章</w:t>
      </w:r>
      <w:r>
        <w:rPr>
          <w:rStyle w:val="20"/>
          <w:rFonts w:ascii="宋体" w:hAnsi="宋体"/>
          <w:sz w:val="28"/>
          <w:szCs w:val="28"/>
        </w:rPr>
        <w:t xml:space="preserve"> </w:t>
      </w:r>
      <w:r>
        <w:rPr>
          <w:rStyle w:val="20"/>
          <w:rFonts w:hint="eastAsia" w:ascii="宋体" w:hAnsi="宋体"/>
          <w:sz w:val="28"/>
          <w:szCs w:val="28"/>
        </w:rPr>
        <w:t>主要建设任务</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_Toc21594847 \h </w:instrText>
      </w:r>
      <w:r>
        <w:rPr>
          <w:rFonts w:ascii="宋体" w:hAnsi="宋体"/>
          <w:sz w:val="28"/>
          <w:szCs w:val="28"/>
        </w:rPr>
        <w:fldChar w:fldCharType="separate"/>
      </w:r>
      <w:r>
        <w:rPr>
          <w:rFonts w:ascii="宋体" w:hAnsi="宋体"/>
          <w:sz w:val="28"/>
          <w:szCs w:val="28"/>
        </w:rPr>
        <w:t>28</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firstLine="400"/>
        <w:rPr>
          <w:rFonts w:ascii="宋体" w:hAnsi="宋体" w:cstheme="minorBidi"/>
          <w:smallCaps w:val="0"/>
          <w:sz w:val="28"/>
          <w:szCs w:val="28"/>
        </w:rPr>
      </w:pPr>
      <w:r>
        <w:fldChar w:fldCharType="begin"/>
      </w:r>
      <w:r>
        <w:instrText xml:space="preserve"> HYPERLINK \l "_Toc21594848" </w:instrText>
      </w:r>
      <w:r>
        <w:fldChar w:fldCharType="separate"/>
      </w:r>
      <w:r>
        <w:rPr>
          <w:rStyle w:val="20"/>
          <w:rFonts w:hint="eastAsia" w:ascii="宋体" w:hAnsi="宋体"/>
          <w:sz w:val="28"/>
          <w:szCs w:val="28"/>
        </w:rPr>
        <w:t>一、建设三个基地</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_Toc21594848 \h </w:instrText>
      </w:r>
      <w:r>
        <w:rPr>
          <w:rFonts w:ascii="宋体" w:hAnsi="宋体"/>
          <w:sz w:val="28"/>
          <w:szCs w:val="28"/>
        </w:rPr>
        <w:fldChar w:fldCharType="separate"/>
      </w:r>
      <w:r>
        <w:rPr>
          <w:rFonts w:ascii="宋体" w:hAnsi="宋体"/>
          <w:sz w:val="28"/>
          <w:szCs w:val="28"/>
        </w:rPr>
        <w:t>28</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firstLine="400"/>
        <w:rPr>
          <w:rFonts w:ascii="宋体" w:hAnsi="宋体" w:cstheme="minorBidi"/>
          <w:smallCaps w:val="0"/>
          <w:sz w:val="28"/>
          <w:szCs w:val="28"/>
        </w:rPr>
      </w:pPr>
      <w:r>
        <w:fldChar w:fldCharType="begin"/>
      </w:r>
      <w:r>
        <w:instrText xml:space="preserve"> HYPERLINK \l "_Toc21594849" </w:instrText>
      </w:r>
      <w:r>
        <w:fldChar w:fldCharType="separate"/>
      </w:r>
      <w:r>
        <w:rPr>
          <w:rStyle w:val="20"/>
          <w:rFonts w:hint="eastAsia" w:ascii="宋体" w:hAnsi="宋体"/>
          <w:sz w:val="28"/>
          <w:szCs w:val="28"/>
        </w:rPr>
        <w:t>二、打造三个体系</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_Toc21594849 \h </w:instrText>
      </w:r>
      <w:r>
        <w:rPr>
          <w:rFonts w:ascii="宋体" w:hAnsi="宋体"/>
          <w:sz w:val="28"/>
          <w:szCs w:val="28"/>
        </w:rPr>
        <w:fldChar w:fldCharType="separate"/>
      </w:r>
      <w:r>
        <w:rPr>
          <w:rFonts w:ascii="宋体" w:hAnsi="宋体"/>
          <w:sz w:val="28"/>
          <w:szCs w:val="28"/>
        </w:rPr>
        <w:t>31</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firstLine="400"/>
        <w:rPr>
          <w:rFonts w:ascii="宋体" w:hAnsi="宋体" w:cstheme="minorBidi"/>
          <w:smallCaps w:val="0"/>
          <w:sz w:val="28"/>
          <w:szCs w:val="28"/>
        </w:rPr>
      </w:pPr>
      <w:r>
        <w:fldChar w:fldCharType="begin"/>
      </w:r>
      <w:r>
        <w:instrText xml:space="preserve"> HYPERLINK \l "_Toc21594850" </w:instrText>
      </w:r>
      <w:r>
        <w:fldChar w:fldCharType="separate"/>
      </w:r>
      <w:r>
        <w:rPr>
          <w:rStyle w:val="20"/>
          <w:rFonts w:hint="eastAsia" w:ascii="宋体" w:hAnsi="宋体"/>
          <w:sz w:val="28"/>
          <w:szCs w:val="28"/>
        </w:rPr>
        <w:t>三、完善建设和运行机制</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_Toc21594850 \h </w:instrText>
      </w:r>
      <w:r>
        <w:rPr>
          <w:rFonts w:ascii="宋体" w:hAnsi="宋体"/>
          <w:sz w:val="28"/>
          <w:szCs w:val="28"/>
        </w:rPr>
        <w:fldChar w:fldCharType="separate"/>
      </w:r>
      <w:r>
        <w:rPr>
          <w:rFonts w:ascii="宋体" w:hAnsi="宋体"/>
          <w:sz w:val="28"/>
          <w:szCs w:val="28"/>
        </w:rPr>
        <w:t>32</w:t>
      </w:r>
      <w:r>
        <w:rPr>
          <w:rFonts w:ascii="宋体" w:hAnsi="宋体"/>
          <w:sz w:val="28"/>
          <w:szCs w:val="28"/>
        </w:rPr>
        <w:fldChar w:fldCharType="end"/>
      </w:r>
      <w:r>
        <w:rPr>
          <w:rFonts w:ascii="宋体" w:hAnsi="宋体"/>
          <w:sz w:val="28"/>
          <w:szCs w:val="28"/>
        </w:rPr>
        <w:fldChar w:fldCharType="end"/>
      </w:r>
    </w:p>
    <w:p>
      <w:pPr>
        <w:pStyle w:val="10"/>
        <w:tabs>
          <w:tab w:val="right" w:leader="dot" w:pos="9580"/>
        </w:tabs>
        <w:spacing w:line="510" w:lineRule="exact"/>
        <w:ind w:firstLine="402"/>
        <w:rPr>
          <w:rFonts w:ascii="宋体" w:hAnsi="宋体" w:cstheme="minorBidi"/>
          <w:b w:val="0"/>
          <w:bCs w:val="0"/>
          <w:caps w:val="0"/>
          <w:sz w:val="28"/>
          <w:szCs w:val="28"/>
        </w:rPr>
      </w:pPr>
      <w:r>
        <w:fldChar w:fldCharType="begin"/>
      </w:r>
      <w:r>
        <w:instrText xml:space="preserve"> HYPERLINK \l "_Toc21594851" </w:instrText>
      </w:r>
      <w:r>
        <w:fldChar w:fldCharType="separate"/>
      </w:r>
      <w:r>
        <w:rPr>
          <w:rStyle w:val="20"/>
          <w:rFonts w:hint="eastAsia" w:ascii="宋体" w:hAnsi="宋体"/>
          <w:sz w:val="28"/>
          <w:szCs w:val="28"/>
        </w:rPr>
        <w:t>第六章</w:t>
      </w:r>
      <w:r>
        <w:rPr>
          <w:rStyle w:val="20"/>
          <w:rFonts w:ascii="宋体" w:hAnsi="宋体"/>
          <w:sz w:val="28"/>
          <w:szCs w:val="28"/>
        </w:rPr>
        <w:t xml:space="preserve"> </w:t>
      </w:r>
      <w:r>
        <w:rPr>
          <w:rStyle w:val="20"/>
          <w:rFonts w:hint="eastAsia" w:ascii="宋体" w:hAnsi="宋体"/>
          <w:sz w:val="28"/>
          <w:szCs w:val="28"/>
        </w:rPr>
        <w:t>区域布局</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_Toc21594851 \h </w:instrText>
      </w:r>
      <w:r>
        <w:rPr>
          <w:rFonts w:ascii="宋体" w:hAnsi="宋体"/>
          <w:sz w:val="28"/>
          <w:szCs w:val="28"/>
        </w:rPr>
        <w:fldChar w:fldCharType="separate"/>
      </w:r>
      <w:r>
        <w:rPr>
          <w:rFonts w:ascii="宋体" w:hAnsi="宋体"/>
          <w:sz w:val="28"/>
          <w:szCs w:val="28"/>
        </w:rPr>
        <w:t>33</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firstLine="400"/>
        <w:rPr>
          <w:rFonts w:ascii="宋体" w:hAnsi="宋体" w:cstheme="minorBidi"/>
          <w:smallCaps w:val="0"/>
          <w:sz w:val="28"/>
          <w:szCs w:val="28"/>
        </w:rPr>
      </w:pPr>
      <w:r>
        <w:fldChar w:fldCharType="begin"/>
      </w:r>
      <w:r>
        <w:instrText xml:space="preserve"> HYPERLINK \l "_Toc21594852" </w:instrText>
      </w:r>
      <w:r>
        <w:fldChar w:fldCharType="separate"/>
      </w:r>
      <w:r>
        <w:rPr>
          <w:rStyle w:val="20"/>
          <w:rFonts w:hint="eastAsia" w:ascii="宋体" w:hAnsi="宋体"/>
          <w:sz w:val="28"/>
          <w:szCs w:val="28"/>
        </w:rPr>
        <w:t>一、布局思路</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_Toc21594852 \h </w:instrText>
      </w:r>
      <w:r>
        <w:rPr>
          <w:rFonts w:ascii="宋体" w:hAnsi="宋体"/>
          <w:sz w:val="28"/>
          <w:szCs w:val="28"/>
        </w:rPr>
        <w:fldChar w:fldCharType="separate"/>
      </w:r>
      <w:r>
        <w:rPr>
          <w:rFonts w:ascii="宋体" w:hAnsi="宋体"/>
          <w:sz w:val="28"/>
          <w:szCs w:val="28"/>
        </w:rPr>
        <w:t>33</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firstLine="400"/>
        <w:rPr>
          <w:rFonts w:ascii="宋体" w:hAnsi="宋体" w:cstheme="minorBidi"/>
          <w:smallCaps w:val="0"/>
          <w:sz w:val="28"/>
          <w:szCs w:val="28"/>
        </w:rPr>
      </w:pPr>
      <w:r>
        <w:fldChar w:fldCharType="begin"/>
      </w:r>
      <w:r>
        <w:instrText xml:space="preserve"> HYPERLINK \l "_Toc21594853" </w:instrText>
      </w:r>
      <w:r>
        <w:fldChar w:fldCharType="separate"/>
      </w:r>
      <w:r>
        <w:rPr>
          <w:rStyle w:val="20"/>
          <w:rFonts w:hint="eastAsia" w:ascii="宋体" w:hAnsi="宋体"/>
          <w:sz w:val="28"/>
          <w:szCs w:val="28"/>
        </w:rPr>
        <w:t>二、总体空间布局</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_Toc21594853 \h </w:instrText>
      </w:r>
      <w:r>
        <w:rPr>
          <w:rFonts w:ascii="宋体" w:hAnsi="宋体"/>
          <w:sz w:val="28"/>
          <w:szCs w:val="28"/>
        </w:rPr>
        <w:fldChar w:fldCharType="separate"/>
      </w:r>
      <w:r>
        <w:rPr>
          <w:rFonts w:ascii="宋体" w:hAnsi="宋体"/>
          <w:sz w:val="28"/>
          <w:szCs w:val="28"/>
        </w:rPr>
        <w:t>35</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firstLine="400"/>
        <w:rPr>
          <w:rFonts w:ascii="宋体" w:hAnsi="宋体" w:cstheme="minorBidi"/>
          <w:smallCaps w:val="0"/>
          <w:sz w:val="28"/>
          <w:szCs w:val="28"/>
        </w:rPr>
      </w:pPr>
      <w:r>
        <w:fldChar w:fldCharType="begin"/>
      </w:r>
      <w:r>
        <w:instrText xml:space="preserve"> HYPERLINK \l "_Toc21594854" </w:instrText>
      </w:r>
      <w:r>
        <w:fldChar w:fldCharType="separate"/>
      </w:r>
      <w:r>
        <w:rPr>
          <w:rStyle w:val="20"/>
          <w:rFonts w:hint="eastAsia" w:ascii="宋体" w:hAnsi="宋体"/>
          <w:sz w:val="28"/>
          <w:szCs w:val="28"/>
        </w:rPr>
        <w:t>三、开发时序</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_Toc21594854 \h </w:instrText>
      </w:r>
      <w:r>
        <w:rPr>
          <w:rFonts w:ascii="宋体" w:hAnsi="宋体"/>
          <w:sz w:val="28"/>
          <w:szCs w:val="28"/>
        </w:rPr>
        <w:fldChar w:fldCharType="separate"/>
      </w:r>
      <w:r>
        <w:rPr>
          <w:rFonts w:ascii="宋体" w:hAnsi="宋体"/>
          <w:sz w:val="28"/>
          <w:szCs w:val="28"/>
        </w:rPr>
        <w:t>36</w:t>
      </w:r>
      <w:r>
        <w:rPr>
          <w:rFonts w:ascii="宋体" w:hAnsi="宋体"/>
          <w:sz w:val="28"/>
          <w:szCs w:val="28"/>
        </w:rPr>
        <w:fldChar w:fldCharType="end"/>
      </w:r>
      <w:r>
        <w:rPr>
          <w:rFonts w:ascii="宋体" w:hAnsi="宋体"/>
          <w:sz w:val="28"/>
          <w:szCs w:val="28"/>
        </w:rPr>
        <w:fldChar w:fldCharType="end"/>
      </w:r>
    </w:p>
    <w:p>
      <w:pPr>
        <w:pStyle w:val="10"/>
        <w:tabs>
          <w:tab w:val="right" w:leader="dot" w:pos="9580"/>
        </w:tabs>
        <w:spacing w:line="510" w:lineRule="exact"/>
        <w:ind w:firstLine="402"/>
        <w:rPr>
          <w:rFonts w:ascii="宋体" w:hAnsi="宋体" w:cstheme="minorBidi"/>
          <w:b w:val="0"/>
          <w:bCs w:val="0"/>
          <w:caps w:val="0"/>
          <w:sz w:val="28"/>
          <w:szCs w:val="28"/>
        </w:rPr>
      </w:pPr>
      <w:r>
        <w:fldChar w:fldCharType="begin"/>
      </w:r>
      <w:r>
        <w:instrText xml:space="preserve"> HYPERLINK \l "_Toc21594855" </w:instrText>
      </w:r>
      <w:r>
        <w:fldChar w:fldCharType="separate"/>
      </w:r>
      <w:r>
        <w:rPr>
          <w:rStyle w:val="20"/>
          <w:rFonts w:hint="eastAsia" w:ascii="宋体" w:hAnsi="宋体"/>
          <w:sz w:val="28"/>
          <w:szCs w:val="28"/>
        </w:rPr>
        <w:t>第七章</w:t>
      </w:r>
      <w:r>
        <w:rPr>
          <w:rStyle w:val="20"/>
          <w:rFonts w:ascii="宋体" w:hAnsi="宋体"/>
          <w:sz w:val="28"/>
          <w:szCs w:val="28"/>
        </w:rPr>
        <w:t xml:space="preserve"> </w:t>
      </w:r>
      <w:r>
        <w:rPr>
          <w:rStyle w:val="20"/>
          <w:rFonts w:hint="eastAsia" w:ascii="宋体" w:hAnsi="宋体"/>
          <w:sz w:val="28"/>
          <w:szCs w:val="28"/>
        </w:rPr>
        <w:t>主导产业发展与布局</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_Toc21594855 \h </w:instrText>
      </w:r>
      <w:r>
        <w:rPr>
          <w:rFonts w:ascii="宋体" w:hAnsi="宋体"/>
          <w:sz w:val="28"/>
          <w:szCs w:val="28"/>
        </w:rPr>
        <w:fldChar w:fldCharType="separate"/>
      </w:r>
      <w:r>
        <w:rPr>
          <w:rFonts w:ascii="宋体" w:hAnsi="宋体"/>
          <w:sz w:val="28"/>
          <w:szCs w:val="28"/>
        </w:rPr>
        <w:t>37</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firstLine="400"/>
        <w:rPr>
          <w:rFonts w:ascii="宋体" w:hAnsi="宋体" w:cstheme="minorBidi"/>
          <w:smallCaps w:val="0"/>
          <w:sz w:val="28"/>
          <w:szCs w:val="28"/>
        </w:rPr>
      </w:pPr>
      <w:r>
        <w:fldChar w:fldCharType="begin"/>
      </w:r>
      <w:r>
        <w:instrText xml:space="preserve"> HYPERLINK \l "_Toc21594856" </w:instrText>
      </w:r>
      <w:r>
        <w:fldChar w:fldCharType="separate"/>
      </w:r>
      <w:r>
        <w:rPr>
          <w:rStyle w:val="20"/>
          <w:rFonts w:hint="eastAsia" w:ascii="宋体" w:hAnsi="宋体" w:cs="宋体"/>
          <w:sz w:val="28"/>
          <w:szCs w:val="28"/>
        </w:rPr>
        <w:t>一、葡萄产业</w:t>
      </w:r>
      <w:r>
        <w:rPr>
          <w:rStyle w:val="20"/>
          <w:rFonts w:hint="eastAsia" w:ascii="宋体" w:hAnsi="宋体"/>
          <w:sz w:val="28"/>
          <w:szCs w:val="28"/>
        </w:rPr>
        <w:t>发展与布局</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_Toc21594856 \h </w:instrText>
      </w:r>
      <w:r>
        <w:rPr>
          <w:rFonts w:ascii="宋体" w:hAnsi="宋体"/>
          <w:sz w:val="28"/>
          <w:szCs w:val="28"/>
        </w:rPr>
        <w:fldChar w:fldCharType="separate"/>
      </w:r>
      <w:r>
        <w:rPr>
          <w:rFonts w:ascii="宋体" w:hAnsi="宋体"/>
          <w:sz w:val="28"/>
          <w:szCs w:val="28"/>
        </w:rPr>
        <w:t>37</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firstLine="400"/>
        <w:rPr>
          <w:rFonts w:ascii="宋体" w:hAnsi="宋体" w:cstheme="minorBidi"/>
          <w:smallCaps w:val="0"/>
          <w:sz w:val="28"/>
          <w:szCs w:val="28"/>
        </w:rPr>
      </w:pPr>
      <w:r>
        <w:fldChar w:fldCharType="begin"/>
      </w:r>
      <w:r>
        <w:instrText xml:space="preserve"> HYPERLINK \l "_Toc21594857" </w:instrText>
      </w:r>
      <w:r>
        <w:fldChar w:fldCharType="separate"/>
      </w:r>
      <w:r>
        <w:rPr>
          <w:rStyle w:val="20"/>
          <w:rFonts w:hint="eastAsia" w:ascii="宋体" w:hAnsi="宋体" w:cs="宋体"/>
          <w:sz w:val="28"/>
          <w:szCs w:val="28"/>
        </w:rPr>
        <w:t>二、银杏产业</w:t>
      </w:r>
      <w:r>
        <w:rPr>
          <w:rStyle w:val="20"/>
          <w:rFonts w:hint="eastAsia" w:ascii="宋体" w:hAnsi="宋体"/>
          <w:sz w:val="28"/>
          <w:szCs w:val="28"/>
        </w:rPr>
        <w:t>发展与布局</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_Toc21594857 \h </w:instrText>
      </w:r>
      <w:r>
        <w:rPr>
          <w:rFonts w:ascii="宋体" w:hAnsi="宋体"/>
          <w:sz w:val="28"/>
          <w:szCs w:val="28"/>
        </w:rPr>
        <w:fldChar w:fldCharType="separate"/>
      </w:r>
      <w:r>
        <w:rPr>
          <w:rFonts w:ascii="宋体" w:hAnsi="宋体"/>
          <w:sz w:val="28"/>
          <w:szCs w:val="28"/>
        </w:rPr>
        <w:t>40</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firstLine="400"/>
        <w:rPr>
          <w:rFonts w:ascii="宋体" w:hAnsi="宋体" w:cstheme="minorBidi"/>
          <w:smallCaps w:val="0"/>
          <w:sz w:val="28"/>
          <w:szCs w:val="28"/>
        </w:rPr>
      </w:pPr>
      <w:r>
        <w:fldChar w:fldCharType="begin"/>
      </w:r>
      <w:r>
        <w:instrText xml:space="preserve"> HYPERLINK \l "_Toc21594858" </w:instrText>
      </w:r>
      <w:r>
        <w:fldChar w:fldCharType="separate"/>
      </w:r>
      <w:r>
        <w:rPr>
          <w:rStyle w:val="20"/>
          <w:rFonts w:hint="eastAsia" w:ascii="宋体" w:hAnsi="宋体" w:cs="宋体"/>
          <w:sz w:val="28"/>
          <w:szCs w:val="28"/>
        </w:rPr>
        <w:t>三、甜玉米产业</w:t>
      </w:r>
      <w:r>
        <w:rPr>
          <w:rStyle w:val="20"/>
          <w:rFonts w:hint="eastAsia" w:ascii="宋体" w:hAnsi="宋体"/>
          <w:sz w:val="28"/>
          <w:szCs w:val="28"/>
        </w:rPr>
        <w:t>发展与布局</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_Toc21594858 \h </w:instrText>
      </w:r>
      <w:r>
        <w:rPr>
          <w:rFonts w:ascii="宋体" w:hAnsi="宋体"/>
          <w:sz w:val="28"/>
          <w:szCs w:val="28"/>
        </w:rPr>
        <w:fldChar w:fldCharType="separate"/>
      </w:r>
      <w:r>
        <w:rPr>
          <w:rFonts w:ascii="宋体" w:hAnsi="宋体"/>
          <w:sz w:val="28"/>
          <w:szCs w:val="28"/>
        </w:rPr>
        <w:t>42</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firstLine="400"/>
        <w:rPr>
          <w:rFonts w:ascii="宋体" w:hAnsi="宋体" w:cstheme="minorBidi"/>
          <w:smallCaps w:val="0"/>
          <w:sz w:val="28"/>
          <w:szCs w:val="28"/>
        </w:rPr>
      </w:pPr>
      <w:r>
        <w:fldChar w:fldCharType="begin"/>
      </w:r>
      <w:r>
        <w:instrText xml:space="preserve"> HYPERLINK \l "_Toc21594859" </w:instrText>
      </w:r>
      <w:r>
        <w:fldChar w:fldCharType="separate"/>
      </w:r>
      <w:r>
        <w:rPr>
          <w:rStyle w:val="20"/>
          <w:rFonts w:hint="eastAsia" w:ascii="宋体" w:hAnsi="宋体" w:cs="宋体"/>
          <w:sz w:val="28"/>
          <w:szCs w:val="28"/>
        </w:rPr>
        <w:t>四、柑桔产业发展与布局</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_Toc21594859 \h </w:instrText>
      </w:r>
      <w:r>
        <w:rPr>
          <w:rFonts w:ascii="宋体" w:hAnsi="宋体"/>
          <w:sz w:val="28"/>
          <w:szCs w:val="28"/>
        </w:rPr>
        <w:fldChar w:fldCharType="separate"/>
      </w:r>
      <w:r>
        <w:rPr>
          <w:rFonts w:ascii="宋体" w:hAnsi="宋体"/>
          <w:sz w:val="28"/>
          <w:szCs w:val="28"/>
        </w:rPr>
        <w:t>43</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firstLine="400"/>
        <w:rPr>
          <w:rFonts w:ascii="宋体" w:hAnsi="宋体" w:cstheme="minorBidi"/>
          <w:smallCaps w:val="0"/>
          <w:sz w:val="28"/>
          <w:szCs w:val="28"/>
        </w:rPr>
      </w:pPr>
      <w:r>
        <w:fldChar w:fldCharType="begin"/>
      </w:r>
      <w:r>
        <w:instrText xml:space="preserve"> HYPERLINK \l "_Toc21594860" </w:instrText>
      </w:r>
      <w:r>
        <w:fldChar w:fldCharType="separate"/>
      </w:r>
      <w:r>
        <w:rPr>
          <w:rStyle w:val="20"/>
          <w:rFonts w:hint="eastAsia" w:ascii="宋体" w:hAnsi="宋体"/>
          <w:sz w:val="28"/>
          <w:szCs w:val="28"/>
        </w:rPr>
        <w:t>五、食用菌产业发展与布局</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_Toc21594860 \h </w:instrText>
      </w:r>
      <w:r>
        <w:rPr>
          <w:rFonts w:ascii="宋体" w:hAnsi="宋体"/>
          <w:sz w:val="28"/>
          <w:szCs w:val="28"/>
        </w:rPr>
        <w:fldChar w:fldCharType="separate"/>
      </w:r>
      <w:r>
        <w:rPr>
          <w:rFonts w:ascii="宋体" w:hAnsi="宋体"/>
          <w:sz w:val="28"/>
          <w:szCs w:val="28"/>
        </w:rPr>
        <w:t>45</w:t>
      </w:r>
      <w:r>
        <w:rPr>
          <w:rFonts w:ascii="宋体" w:hAnsi="宋体"/>
          <w:sz w:val="28"/>
          <w:szCs w:val="28"/>
        </w:rPr>
        <w:fldChar w:fldCharType="end"/>
      </w:r>
      <w:r>
        <w:rPr>
          <w:rFonts w:ascii="宋体" w:hAnsi="宋体"/>
          <w:sz w:val="28"/>
          <w:szCs w:val="28"/>
        </w:rPr>
        <w:fldChar w:fldCharType="end"/>
      </w:r>
    </w:p>
    <w:p>
      <w:pPr>
        <w:pStyle w:val="10"/>
        <w:tabs>
          <w:tab w:val="right" w:leader="dot" w:pos="9580"/>
        </w:tabs>
        <w:spacing w:line="510" w:lineRule="exact"/>
        <w:ind w:firstLine="402"/>
        <w:rPr>
          <w:rFonts w:ascii="宋体" w:hAnsi="宋体" w:cstheme="minorBidi"/>
          <w:b w:val="0"/>
          <w:bCs w:val="0"/>
          <w:caps w:val="0"/>
          <w:sz w:val="28"/>
          <w:szCs w:val="28"/>
        </w:rPr>
      </w:pPr>
      <w:r>
        <w:fldChar w:fldCharType="begin"/>
      </w:r>
      <w:r>
        <w:instrText xml:space="preserve"> HYPERLINK \l "_Toc21594861" </w:instrText>
      </w:r>
      <w:r>
        <w:fldChar w:fldCharType="separate"/>
      </w:r>
      <w:r>
        <w:rPr>
          <w:rStyle w:val="20"/>
          <w:rFonts w:hint="eastAsia" w:ascii="宋体" w:hAnsi="宋体"/>
          <w:sz w:val="28"/>
          <w:szCs w:val="28"/>
        </w:rPr>
        <w:t>第八章</w:t>
      </w:r>
      <w:r>
        <w:rPr>
          <w:rStyle w:val="20"/>
          <w:rFonts w:ascii="宋体" w:hAnsi="宋体"/>
          <w:sz w:val="28"/>
          <w:szCs w:val="28"/>
        </w:rPr>
        <w:t xml:space="preserve"> </w:t>
      </w:r>
      <w:r>
        <w:rPr>
          <w:rStyle w:val="20"/>
          <w:rFonts w:hint="eastAsia" w:ascii="宋体" w:hAnsi="宋体"/>
          <w:sz w:val="28"/>
          <w:szCs w:val="28"/>
        </w:rPr>
        <w:t>产业配套重点项目建设</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_Toc21594861 \h </w:instrText>
      </w:r>
      <w:r>
        <w:rPr>
          <w:rFonts w:ascii="宋体" w:hAnsi="宋体"/>
          <w:sz w:val="28"/>
          <w:szCs w:val="28"/>
        </w:rPr>
        <w:fldChar w:fldCharType="separate"/>
      </w:r>
      <w:r>
        <w:rPr>
          <w:rFonts w:ascii="宋体" w:hAnsi="宋体"/>
          <w:sz w:val="28"/>
          <w:szCs w:val="28"/>
        </w:rPr>
        <w:t>47</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firstLine="400"/>
        <w:rPr>
          <w:rFonts w:ascii="宋体" w:hAnsi="宋体" w:cstheme="minorBidi"/>
          <w:smallCaps w:val="0"/>
          <w:sz w:val="28"/>
          <w:szCs w:val="28"/>
        </w:rPr>
      </w:pPr>
      <w:r>
        <w:fldChar w:fldCharType="begin"/>
      </w:r>
      <w:r>
        <w:instrText xml:space="preserve"> HYPERLINK \l "_Toc21594862" </w:instrText>
      </w:r>
      <w:r>
        <w:fldChar w:fldCharType="separate"/>
      </w:r>
      <w:r>
        <w:rPr>
          <w:rStyle w:val="20"/>
          <w:rFonts w:hint="eastAsia" w:ascii="宋体" w:hAnsi="宋体"/>
          <w:sz w:val="28"/>
          <w:szCs w:val="28"/>
        </w:rPr>
        <w:t>一、加工贸易基地建设</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_Toc21594862 \h </w:instrText>
      </w:r>
      <w:r>
        <w:rPr>
          <w:rFonts w:ascii="宋体" w:hAnsi="宋体"/>
          <w:sz w:val="28"/>
          <w:szCs w:val="28"/>
        </w:rPr>
        <w:fldChar w:fldCharType="separate"/>
      </w:r>
      <w:r>
        <w:rPr>
          <w:rFonts w:ascii="宋体" w:hAnsi="宋体"/>
          <w:sz w:val="28"/>
          <w:szCs w:val="28"/>
        </w:rPr>
        <w:t>47</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firstLine="400"/>
        <w:rPr>
          <w:rFonts w:ascii="宋体" w:hAnsi="宋体" w:cstheme="minorBidi"/>
          <w:smallCaps w:val="0"/>
          <w:sz w:val="28"/>
          <w:szCs w:val="28"/>
        </w:rPr>
      </w:pPr>
      <w:r>
        <w:fldChar w:fldCharType="begin"/>
      </w:r>
      <w:r>
        <w:instrText xml:space="preserve"> HYPERLINK \l "_Toc21594863" </w:instrText>
      </w:r>
      <w:r>
        <w:fldChar w:fldCharType="separate"/>
      </w:r>
      <w:r>
        <w:rPr>
          <w:rStyle w:val="20"/>
          <w:rFonts w:hint="eastAsia" w:ascii="宋体" w:hAnsi="宋体"/>
          <w:sz w:val="28"/>
          <w:szCs w:val="28"/>
        </w:rPr>
        <w:t>二、科技支撑体系建设</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_Toc21594863 \h </w:instrText>
      </w:r>
      <w:r>
        <w:rPr>
          <w:rFonts w:ascii="宋体" w:hAnsi="宋体"/>
          <w:sz w:val="28"/>
          <w:szCs w:val="28"/>
        </w:rPr>
        <w:fldChar w:fldCharType="separate"/>
      </w:r>
      <w:r>
        <w:rPr>
          <w:rFonts w:ascii="宋体" w:hAnsi="宋体"/>
          <w:sz w:val="28"/>
          <w:szCs w:val="28"/>
        </w:rPr>
        <w:t>48</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firstLine="400"/>
        <w:rPr>
          <w:rFonts w:ascii="宋体" w:hAnsi="宋体" w:cstheme="minorBidi"/>
          <w:smallCaps w:val="0"/>
          <w:sz w:val="28"/>
          <w:szCs w:val="28"/>
        </w:rPr>
      </w:pPr>
      <w:r>
        <w:fldChar w:fldCharType="begin"/>
      </w:r>
      <w:r>
        <w:instrText xml:space="preserve"> HYPERLINK \l "_Toc21594864" </w:instrText>
      </w:r>
      <w:r>
        <w:fldChar w:fldCharType="separate"/>
      </w:r>
      <w:r>
        <w:rPr>
          <w:rStyle w:val="20"/>
          <w:rFonts w:hint="eastAsia" w:ascii="宋体" w:hAnsi="宋体"/>
          <w:sz w:val="28"/>
          <w:szCs w:val="28"/>
        </w:rPr>
        <w:t>三、信息化体系建设</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_Toc21594864 \h </w:instrText>
      </w:r>
      <w:r>
        <w:rPr>
          <w:rFonts w:ascii="宋体" w:hAnsi="宋体"/>
          <w:sz w:val="28"/>
          <w:szCs w:val="28"/>
        </w:rPr>
        <w:fldChar w:fldCharType="separate"/>
      </w:r>
      <w:r>
        <w:rPr>
          <w:rFonts w:ascii="宋体" w:hAnsi="宋体"/>
          <w:sz w:val="28"/>
          <w:szCs w:val="28"/>
        </w:rPr>
        <w:t>49</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firstLine="400"/>
        <w:rPr>
          <w:rFonts w:ascii="宋体" w:hAnsi="宋体" w:cstheme="minorBidi"/>
          <w:smallCaps w:val="0"/>
          <w:sz w:val="28"/>
          <w:szCs w:val="28"/>
        </w:rPr>
      </w:pPr>
      <w:r>
        <w:fldChar w:fldCharType="begin"/>
      </w:r>
      <w:r>
        <w:instrText xml:space="preserve"> HYPERLINK \l "_Toc21594865" </w:instrText>
      </w:r>
      <w:r>
        <w:fldChar w:fldCharType="separate"/>
      </w:r>
      <w:r>
        <w:rPr>
          <w:rStyle w:val="20"/>
          <w:rFonts w:hint="eastAsia" w:ascii="宋体" w:hAnsi="宋体"/>
          <w:sz w:val="28"/>
          <w:szCs w:val="28"/>
        </w:rPr>
        <w:t>四、品牌建设与市场营销体系建设</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_Toc21594865 \h </w:instrText>
      </w:r>
      <w:r>
        <w:rPr>
          <w:rFonts w:ascii="宋体" w:hAnsi="宋体"/>
          <w:sz w:val="28"/>
          <w:szCs w:val="28"/>
        </w:rPr>
        <w:fldChar w:fldCharType="separate"/>
      </w:r>
      <w:r>
        <w:rPr>
          <w:rFonts w:ascii="宋体" w:hAnsi="宋体"/>
          <w:sz w:val="28"/>
          <w:szCs w:val="28"/>
        </w:rPr>
        <w:t>50</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firstLine="400"/>
        <w:rPr>
          <w:rFonts w:ascii="宋体" w:hAnsi="宋体"/>
          <w:sz w:val="28"/>
          <w:szCs w:val="28"/>
        </w:rPr>
      </w:pPr>
      <w:r>
        <w:fldChar w:fldCharType="begin"/>
      </w:r>
      <w:r>
        <w:instrText xml:space="preserve"> HYPERLINK \l "_Toc21594866" </w:instrText>
      </w:r>
      <w:r>
        <w:fldChar w:fldCharType="separate"/>
      </w:r>
      <w:r>
        <w:rPr>
          <w:rStyle w:val="20"/>
          <w:rFonts w:hint="eastAsia" w:ascii="宋体" w:hAnsi="宋体"/>
          <w:sz w:val="28"/>
          <w:szCs w:val="28"/>
        </w:rPr>
        <w:t>五、质量控制体系建设</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_Toc21594866 \h </w:instrText>
      </w:r>
      <w:r>
        <w:rPr>
          <w:rFonts w:ascii="宋体" w:hAnsi="宋体"/>
          <w:sz w:val="28"/>
          <w:szCs w:val="28"/>
        </w:rPr>
        <w:fldChar w:fldCharType="separate"/>
      </w:r>
      <w:r>
        <w:rPr>
          <w:rFonts w:ascii="宋体" w:hAnsi="宋体"/>
          <w:sz w:val="28"/>
          <w:szCs w:val="28"/>
        </w:rPr>
        <w:t>51</w:t>
      </w:r>
      <w:r>
        <w:rPr>
          <w:rFonts w:ascii="宋体" w:hAnsi="宋体"/>
          <w:sz w:val="28"/>
          <w:szCs w:val="28"/>
        </w:rPr>
        <w:fldChar w:fldCharType="end"/>
      </w:r>
      <w:r>
        <w:rPr>
          <w:rFonts w:ascii="宋体" w:hAnsi="宋体"/>
          <w:sz w:val="28"/>
          <w:szCs w:val="28"/>
        </w:rPr>
        <w:fldChar w:fldCharType="end"/>
      </w:r>
    </w:p>
    <w:p>
      <w:pPr>
        <w:ind w:firstLine="560"/>
      </w:pPr>
    </w:p>
    <w:p>
      <w:pPr>
        <w:pStyle w:val="10"/>
        <w:tabs>
          <w:tab w:val="right" w:leader="dot" w:pos="9580"/>
        </w:tabs>
        <w:spacing w:line="510" w:lineRule="exact"/>
        <w:ind w:firstLine="402"/>
        <w:sectPr>
          <w:footerReference r:id="rId16" w:type="default"/>
          <w:type w:val="continuous"/>
          <w:pgSz w:w="23757" w:h="16783" w:orient="landscape"/>
          <w:pgMar w:top="1440" w:right="1588" w:bottom="1440" w:left="1588" w:header="851" w:footer="992" w:gutter="0"/>
          <w:pgNumType w:fmt="upperRoman"/>
          <w:cols w:space="1401" w:num="2"/>
          <w:docGrid w:type="lines" w:linePitch="312" w:charSpace="0"/>
        </w:sectPr>
      </w:pPr>
    </w:p>
    <w:p>
      <w:pPr>
        <w:pStyle w:val="10"/>
        <w:tabs>
          <w:tab w:val="right" w:leader="dot" w:pos="9580"/>
        </w:tabs>
        <w:spacing w:line="510" w:lineRule="exact"/>
        <w:ind w:firstLine="402"/>
        <w:rPr>
          <w:rFonts w:ascii="宋体" w:hAnsi="宋体" w:cstheme="minorBidi"/>
          <w:b w:val="0"/>
          <w:bCs w:val="0"/>
          <w:caps w:val="0"/>
          <w:sz w:val="28"/>
          <w:szCs w:val="28"/>
        </w:rPr>
      </w:pPr>
      <w:r>
        <w:fldChar w:fldCharType="begin"/>
      </w:r>
      <w:r>
        <w:instrText xml:space="preserve"> HYPERLINK \l "_Toc21594867" </w:instrText>
      </w:r>
      <w:r>
        <w:fldChar w:fldCharType="separate"/>
      </w:r>
      <w:r>
        <w:rPr>
          <w:rStyle w:val="20"/>
          <w:rFonts w:hint="eastAsia" w:ascii="宋体" w:hAnsi="宋体"/>
          <w:sz w:val="28"/>
          <w:szCs w:val="28"/>
        </w:rPr>
        <w:t>第九章</w:t>
      </w:r>
      <w:r>
        <w:rPr>
          <w:rStyle w:val="20"/>
          <w:rFonts w:ascii="宋体" w:hAnsi="宋体"/>
          <w:sz w:val="28"/>
          <w:szCs w:val="28"/>
        </w:rPr>
        <w:t xml:space="preserve"> </w:t>
      </w:r>
      <w:r>
        <w:rPr>
          <w:rStyle w:val="20"/>
          <w:rFonts w:hint="eastAsia" w:ascii="宋体" w:hAnsi="宋体"/>
          <w:sz w:val="28"/>
          <w:szCs w:val="28"/>
        </w:rPr>
        <w:t>投资估算与资金筹措</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_Toc21594867 \h </w:instrText>
      </w:r>
      <w:r>
        <w:rPr>
          <w:rFonts w:ascii="宋体" w:hAnsi="宋体"/>
          <w:sz w:val="28"/>
          <w:szCs w:val="28"/>
        </w:rPr>
        <w:fldChar w:fldCharType="separate"/>
      </w:r>
      <w:r>
        <w:rPr>
          <w:rFonts w:ascii="宋体" w:hAnsi="宋体"/>
          <w:sz w:val="28"/>
          <w:szCs w:val="28"/>
        </w:rPr>
        <w:t>53</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firstLine="400"/>
        <w:rPr>
          <w:rFonts w:ascii="宋体" w:hAnsi="宋体" w:cstheme="minorBidi"/>
          <w:smallCaps w:val="0"/>
          <w:sz w:val="28"/>
          <w:szCs w:val="28"/>
        </w:rPr>
      </w:pPr>
      <w:r>
        <w:fldChar w:fldCharType="begin"/>
      </w:r>
      <w:r>
        <w:instrText xml:space="preserve"> HYPERLINK \l "_Toc21594868" </w:instrText>
      </w:r>
      <w:r>
        <w:fldChar w:fldCharType="separate"/>
      </w:r>
      <w:r>
        <w:rPr>
          <w:rStyle w:val="20"/>
          <w:rFonts w:hint="eastAsia" w:ascii="宋体" w:hAnsi="宋体"/>
          <w:sz w:val="28"/>
          <w:szCs w:val="28"/>
        </w:rPr>
        <w:t>一、投资估算</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_Toc21594868 \h </w:instrText>
      </w:r>
      <w:r>
        <w:rPr>
          <w:rFonts w:ascii="宋体" w:hAnsi="宋体"/>
          <w:sz w:val="28"/>
          <w:szCs w:val="28"/>
        </w:rPr>
        <w:fldChar w:fldCharType="separate"/>
      </w:r>
      <w:r>
        <w:rPr>
          <w:rFonts w:ascii="宋体" w:hAnsi="宋体"/>
          <w:sz w:val="28"/>
          <w:szCs w:val="28"/>
        </w:rPr>
        <w:t>53</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firstLine="400"/>
        <w:rPr>
          <w:rFonts w:ascii="宋体" w:hAnsi="宋体" w:cstheme="minorBidi"/>
          <w:smallCaps w:val="0"/>
          <w:sz w:val="28"/>
          <w:szCs w:val="28"/>
        </w:rPr>
      </w:pPr>
      <w:r>
        <w:fldChar w:fldCharType="begin"/>
      </w:r>
      <w:r>
        <w:instrText xml:space="preserve"> HYPERLINK \l "_Toc21594869" </w:instrText>
      </w:r>
      <w:r>
        <w:fldChar w:fldCharType="separate"/>
      </w:r>
      <w:r>
        <w:rPr>
          <w:rStyle w:val="20"/>
          <w:rFonts w:hint="eastAsia" w:ascii="宋体" w:hAnsi="宋体"/>
          <w:sz w:val="28"/>
          <w:szCs w:val="28"/>
        </w:rPr>
        <w:t>二、资金筹措</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_Toc21594869 \h </w:instrText>
      </w:r>
      <w:r>
        <w:rPr>
          <w:rFonts w:ascii="宋体" w:hAnsi="宋体"/>
          <w:sz w:val="28"/>
          <w:szCs w:val="28"/>
        </w:rPr>
        <w:fldChar w:fldCharType="separate"/>
      </w:r>
      <w:r>
        <w:rPr>
          <w:rFonts w:ascii="宋体" w:hAnsi="宋体"/>
          <w:sz w:val="28"/>
          <w:szCs w:val="28"/>
        </w:rPr>
        <w:t>55</w:t>
      </w:r>
      <w:r>
        <w:rPr>
          <w:rFonts w:ascii="宋体" w:hAnsi="宋体"/>
          <w:sz w:val="28"/>
          <w:szCs w:val="28"/>
        </w:rPr>
        <w:fldChar w:fldCharType="end"/>
      </w:r>
      <w:r>
        <w:rPr>
          <w:rFonts w:ascii="宋体" w:hAnsi="宋体"/>
          <w:sz w:val="28"/>
          <w:szCs w:val="28"/>
        </w:rPr>
        <w:fldChar w:fldCharType="end"/>
      </w:r>
    </w:p>
    <w:p>
      <w:pPr>
        <w:pStyle w:val="10"/>
        <w:tabs>
          <w:tab w:val="right" w:leader="dot" w:pos="9580"/>
        </w:tabs>
        <w:spacing w:line="510" w:lineRule="exact"/>
        <w:ind w:firstLine="402"/>
        <w:rPr>
          <w:rFonts w:ascii="宋体" w:hAnsi="宋体" w:cstheme="minorBidi"/>
          <w:b w:val="0"/>
          <w:bCs w:val="0"/>
          <w:caps w:val="0"/>
          <w:sz w:val="28"/>
          <w:szCs w:val="28"/>
        </w:rPr>
      </w:pPr>
      <w:r>
        <w:fldChar w:fldCharType="begin"/>
      </w:r>
      <w:r>
        <w:instrText xml:space="preserve"> HYPERLINK \l "_Toc21594870" </w:instrText>
      </w:r>
      <w:r>
        <w:fldChar w:fldCharType="separate"/>
      </w:r>
      <w:r>
        <w:rPr>
          <w:rStyle w:val="20"/>
          <w:rFonts w:hint="eastAsia" w:ascii="宋体" w:hAnsi="宋体"/>
          <w:sz w:val="28"/>
          <w:szCs w:val="28"/>
        </w:rPr>
        <w:t>第十章</w:t>
      </w:r>
      <w:r>
        <w:rPr>
          <w:rStyle w:val="20"/>
          <w:rFonts w:ascii="宋体" w:hAnsi="宋体"/>
          <w:sz w:val="28"/>
          <w:szCs w:val="28"/>
        </w:rPr>
        <w:t xml:space="preserve"> </w:t>
      </w:r>
      <w:r>
        <w:rPr>
          <w:rStyle w:val="20"/>
          <w:rFonts w:hint="eastAsia" w:ascii="宋体" w:hAnsi="宋体"/>
          <w:sz w:val="28"/>
          <w:szCs w:val="28"/>
        </w:rPr>
        <w:t>保障措施</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_Toc21594870 \h </w:instrText>
      </w:r>
      <w:r>
        <w:rPr>
          <w:rFonts w:ascii="宋体" w:hAnsi="宋体"/>
          <w:sz w:val="28"/>
          <w:szCs w:val="28"/>
        </w:rPr>
        <w:fldChar w:fldCharType="separate"/>
      </w:r>
      <w:r>
        <w:rPr>
          <w:rFonts w:ascii="宋体" w:hAnsi="宋体"/>
          <w:sz w:val="28"/>
          <w:szCs w:val="28"/>
        </w:rPr>
        <w:t>56</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firstLine="400"/>
        <w:rPr>
          <w:rFonts w:ascii="宋体" w:hAnsi="宋体" w:cstheme="minorBidi"/>
          <w:smallCaps w:val="0"/>
          <w:sz w:val="28"/>
          <w:szCs w:val="28"/>
        </w:rPr>
      </w:pPr>
      <w:r>
        <w:fldChar w:fldCharType="begin"/>
      </w:r>
      <w:r>
        <w:instrText xml:space="preserve"> HYPERLINK \l "_Toc21594871" </w:instrText>
      </w:r>
      <w:r>
        <w:fldChar w:fldCharType="separate"/>
      </w:r>
      <w:r>
        <w:rPr>
          <w:rStyle w:val="20"/>
          <w:rFonts w:hint="eastAsia" w:ascii="宋体" w:hAnsi="宋体"/>
          <w:sz w:val="28"/>
          <w:szCs w:val="28"/>
        </w:rPr>
        <w:t>一、组织领导保障</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_Toc21594871 \h </w:instrText>
      </w:r>
      <w:r>
        <w:rPr>
          <w:rFonts w:ascii="宋体" w:hAnsi="宋体"/>
          <w:sz w:val="28"/>
          <w:szCs w:val="28"/>
        </w:rPr>
        <w:fldChar w:fldCharType="separate"/>
      </w:r>
      <w:r>
        <w:rPr>
          <w:rFonts w:ascii="宋体" w:hAnsi="宋体"/>
          <w:sz w:val="28"/>
          <w:szCs w:val="28"/>
        </w:rPr>
        <w:t>56</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firstLine="400"/>
        <w:rPr>
          <w:rFonts w:ascii="宋体" w:hAnsi="宋体" w:cstheme="minorBidi"/>
          <w:smallCaps w:val="0"/>
          <w:sz w:val="28"/>
          <w:szCs w:val="28"/>
        </w:rPr>
      </w:pPr>
      <w:r>
        <w:fldChar w:fldCharType="begin"/>
      </w:r>
      <w:r>
        <w:instrText xml:space="preserve"> HYPERLINK \l "_Toc21594872" </w:instrText>
      </w:r>
      <w:r>
        <w:fldChar w:fldCharType="separate"/>
      </w:r>
      <w:r>
        <w:rPr>
          <w:rStyle w:val="20"/>
          <w:rFonts w:hint="eastAsia" w:ascii="宋体" w:hAnsi="宋体"/>
          <w:sz w:val="28"/>
          <w:szCs w:val="28"/>
        </w:rPr>
        <w:t>二、政策配套保障</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_Toc21594872 \h </w:instrText>
      </w:r>
      <w:r>
        <w:rPr>
          <w:rFonts w:ascii="宋体" w:hAnsi="宋体"/>
          <w:sz w:val="28"/>
          <w:szCs w:val="28"/>
        </w:rPr>
        <w:fldChar w:fldCharType="separate"/>
      </w:r>
      <w:r>
        <w:rPr>
          <w:rFonts w:ascii="宋体" w:hAnsi="宋体"/>
          <w:sz w:val="28"/>
          <w:szCs w:val="28"/>
        </w:rPr>
        <w:t>56</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left="278" w:firstLine="400"/>
        <w:rPr>
          <w:rFonts w:ascii="宋体" w:hAnsi="宋体" w:cstheme="minorBidi"/>
          <w:smallCaps w:val="0"/>
          <w:sz w:val="28"/>
          <w:szCs w:val="28"/>
        </w:rPr>
      </w:pPr>
      <w:r>
        <w:fldChar w:fldCharType="begin"/>
      </w:r>
      <w:r>
        <w:instrText xml:space="preserve"> HYPERLINK \l "_Toc21594873" </w:instrText>
      </w:r>
      <w:r>
        <w:fldChar w:fldCharType="separate"/>
      </w:r>
      <w:r>
        <w:rPr>
          <w:rStyle w:val="20"/>
          <w:rFonts w:hint="eastAsia" w:ascii="宋体" w:hAnsi="宋体"/>
          <w:sz w:val="28"/>
          <w:szCs w:val="28"/>
        </w:rPr>
        <w:t>三、科技创新保障</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_Toc21594873 \h </w:instrText>
      </w:r>
      <w:r>
        <w:rPr>
          <w:rFonts w:ascii="宋体" w:hAnsi="宋体"/>
          <w:sz w:val="28"/>
          <w:szCs w:val="28"/>
        </w:rPr>
        <w:fldChar w:fldCharType="separate"/>
      </w:r>
      <w:r>
        <w:rPr>
          <w:rFonts w:ascii="宋体" w:hAnsi="宋体"/>
          <w:sz w:val="28"/>
          <w:szCs w:val="28"/>
        </w:rPr>
        <w:t>56</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firstLine="400"/>
        <w:rPr>
          <w:rFonts w:ascii="宋体" w:hAnsi="宋体" w:cstheme="minorBidi"/>
          <w:smallCaps w:val="0"/>
          <w:sz w:val="28"/>
          <w:szCs w:val="28"/>
        </w:rPr>
      </w:pPr>
      <w:r>
        <w:fldChar w:fldCharType="begin"/>
      </w:r>
      <w:r>
        <w:instrText xml:space="preserve"> HYPERLINK \l "_Toc21594874" </w:instrText>
      </w:r>
      <w:r>
        <w:fldChar w:fldCharType="separate"/>
      </w:r>
      <w:r>
        <w:rPr>
          <w:rStyle w:val="20"/>
          <w:rFonts w:hint="eastAsia" w:ascii="宋体" w:hAnsi="宋体"/>
          <w:sz w:val="28"/>
          <w:szCs w:val="28"/>
        </w:rPr>
        <w:t>四、资金投融资保障</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_Toc21594874 \h </w:instrText>
      </w:r>
      <w:r>
        <w:rPr>
          <w:rFonts w:ascii="宋体" w:hAnsi="宋体"/>
          <w:sz w:val="28"/>
          <w:szCs w:val="28"/>
        </w:rPr>
        <w:fldChar w:fldCharType="separate"/>
      </w:r>
      <w:r>
        <w:rPr>
          <w:rFonts w:ascii="宋体" w:hAnsi="宋体"/>
          <w:sz w:val="28"/>
          <w:szCs w:val="28"/>
        </w:rPr>
        <w:t>57</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firstLine="400"/>
        <w:rPr>
          <w:rFonts w:ascii="宋体" w:hAnsi="宋体" w:cstheme="minorBidi"/>
          <w:smallCaps w:val="0"/>
          <w:sz w:val="28"/>
          <w:szCs w:val="28"/>
        </w:rPr>
      </w:pPr>
      <w:r>
        <w:fldChar w:fldCharType="begin"/>
      </w:r>
      <w:r>
        <w:instrText xml:space="preserve"> HYPERLINK \l "_Toc21594875" </w:instrText>
      </w:r>
      <w:r>
        <w:fldChar w:fldCharType="separate"/>
      </w:r>
      <w:r>
        <w:rPr>
          <w:rStyle w:val="20"/>
          <w:rFonts w:hint="eastAsia" w:ascii="宋体" w:hAnsi="宋体"/>
          <w:sz w:val="28"/>
          <w:szCs w:val="28"/>
        </w:rPr>
        <w:t>五、完善扶贫开发保障</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_Toc21594875 \h </w:instrText>
      </w:r>
      <w:r>
        <w:rPr>
          <w:rFonts w:ascii="宋体" w:hAnsi="宋体"/>
          <w:sz w:val="28"/>
          <w:szCs w:val="28"/>
        </w:rPr>
        <w:fldChar w:fldCharType="separate"/>
      </w:r>
      <w:r>
        <w:rPr>
          <w:rFonts w:ascii="宋体" w:hAnsi="宋体"/>
          <w:sz w:val="28"/>
          <w:szCs w:val="28"/>
        </w:rPr>
        <w:t>58</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firstLine="400"/>
        <w:rPr>
          <w:rFonts w:ascii="宋体" w:hAnsi="宋体" w:cstheme="minorBidi"/>
          <w:smallCaps w:val="0"/>
          <w:sz w:val="28"/>
          <w:szCs w:val="28"/>
        </w:rPr>
      </w:pPr>
      <w:r>
        <w:fldChar w:fldCharType="begin"/>
      </w:r>
      <w:r>
        <w:instrText xml:space="preserve"> HYPERLINK \l "_Toc21594876" </w:instrText>
      </w:r>
      <w:r>
        <w:fldChar w:fldCharType="separate"/>
      </w:r>
      <w:r>
        <w:rPr>
          <w:rStyle w:val="20"/>
          <w:rFonts w:hint="eastAsia" w:ascii="宋体" w:hAnsi="宋体"/>
          <w:sz w:val="28"/>
          <w:szCs w:val="28"/>
        </w:rPr>
        <w:t>六、人才队伍保障</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_Toc21594876 \h </w:instrText>
      </w:r>
      <w:r>
        <w:rPr>
          <w:rFonts w:ascii="宋体" w:hAnsi="宋体"/>
          <w:sz w:val="28"/>
          <w:szCs w:val="28"/>
        </w:rPr>
        <w:fldChar w:fldCharType="separate"/>
      </w:r>
      <w:r>
        <w:rPr>
          <w:rFonts w:ascii="宋体" w:hAnsi="宋体"/>
          <w:sz w:val="28"/>
          <w:szCs w:val="28"/>
        </w:rPr>
        <w:t>58</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firstLine="400"/>
        <w:rPr>
          <w:rFonts w:ascii="宋体" w:hAnsi="宋体" w:cstheme="minorBidi"/>
          <w:smallCaps w:val="0"/>
          <w:sz w:val="28"/>
          <w:szCs w:val="28"/>
        </w:rPr>
      </w:pPr>
      <w:r>
        <w:fldChar w:fldCharType="begin"/>
      </w:r>
      <w:r>
        <w:instrText xml:space="preserve"> HYPERLINK \l "_Toc21594877" </w:instrText>
      </w:r>
      <w:r>
        <w:fldChar w:fldCharType="separate"/>
      </w:r>
      <w:r>
        <w:rPr>
          <w:rStyle w:val="20"/>
          <w:rFonts w:hint="eastAsia" w:ascii="宋体" w:hAnsi="宋体"/>
          <w:sz w:val="28"/>
          <w:szCs w:val="28"/>
        </w:rPr>
        <w:t>七、土地利用保障</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_Toc21594877 \h </w:instrText>
      </w:r>
      <w:r>
        <w:rPr>
          <w:rFonts w:ascii="宋体" w:hAnsi="宋体"/>
          <w:sz w:val="28"/>
          <w:szCs w:val="28"/>
        </w:rPr>
        <w:fldChar w:fldCharType="separate"/>
      </w:r>
      <w:r>
        <w:rPr>
          <w:rFonts w:ascii="宋体" w:hAnsi="宋体"/>
          <w:sz w:val="28"/>
          <w:szCs w:val="28"/>
        </w:rPr>
        <w:t>59</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firstLine="400"/>
        <w:rPr>
          <w:rFonts w:ascii="宋体" w:hAnsi="宋体" w:cstheme="minorBidi"/>
          <w:smallCaps w:val="0"/>
          <w:sz w:val="28"/>
          <w:szCs w:val="28"/>
        </w:rPr>
      </w:pPr>
      <w:r>
        <w:fldChar w:fldCharType="begin"/>
      </w:r>
      <w:r>
        <w:instrText xml:space="preserve"> HYPERLINK \l "_Toc21594878" </w:instrText>
      </w:r>
      <w:r>
        <w:fldChar w:fldCharType="separate"/>
      </w:r>
      <w:r>
        <w:rPr>
          <w:rStyle w:val="20"/>
          <w:rFonts w:hint="eastAsia" w:ascii="宋体" w:hAnsi="宋体"/>
          <w:sz w:val="28"/>
          <w:szCs w:val="28"/>
        </w:rPr>
        <w:t>八、区域合作保障</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_Toc21594878 \h </w:instrText>
      </w:r>
      <w:r>
        <w:rPr>
          <w:rFonts w:ascii="宋体" w:hAnsi="宋体"/>
          <w:sz w:val="28"/>
          <w:szCs w:val="28"/>
        </w:rPr>
        <w:fldChar w:fldCharType="separate"/>
      </w:r>
      <w:r>
        <w:rPr>
          <w:rFonts w:ascii="宋体" w:hAnsi="宋体"/>
          <w:sz w:val="28"/>
          <w:szCs w:val="28"/>
        </w:rPr>
        <w:t>60</w:t>
      </w:r>
      <w:r>
        <w:rPr>
          <w:rFonts w:ascii="宋体" w:hAnsi="宋体"/>
          <w:sz w:val="28"/>
          <w:szCs w:val="28"/>
        </w:rPr>
        <w:fldChar w:fldCharType="end"/>
      </w:r>
      <w:r>
        <w:rPr>
          <w:rFonts w:ascii="宋体" w:hAnsi="宋体"/>
          <w:sz w:val="28"/>
          <w:szCs w:val="28"/>
        </w:rPr>
        <w:fldChar w:fldCharType="end"/>
      </w:r>
    </w:p>
    <w:p>
      <w:pPr>
        <w:pStyle w:val="11"/>
        <w:tabs>
          <w:tab w:val="right" w:leader="dot" w:pos="9580"/>
        </w:tabs>
        <w:spacing w:line="510" w:lineRule="exact"/>
        <w:ind w:firstLine="400"/>
        <w:rPr>
          <w:rFonts w:asciiTheme="minorHAnsi" w:hAnsiTheme="minorHAnsi" w:eastAsiaTheme="minorEastAsia" w:cstheme="minorBidi"/>
          <w:smallCaps w:val="0"/>
          <w:sz w:val="21"/>
          <w:szCs w:val="22"/>
        </w:rPr>
      </w:pPr>
      <w:r>
        <w:fldChar w:fldCharType="begin"/>
      </w:r>
      <w:r>
        <w:instrText xml:space="preserve"> HYPERLINK \l "_Toc21594879" </w:instrText>
      </w:r>
      <w:r>
        <w:fldChar w:fldCharType="separate"/>
      </w:r>
      <w:r>
        <w:rPr>
          <w:rStyle w:val="20"/>
          <w:rFonts w:hint="eastAsia" w:ascii="宋体" w:hAnsi="宋体"/>
          <w:sz w:val="28"/>
          <w:szCs w:val="28"/>
        </w:rPr>
        <w:t>九、实施监督保障</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_Toc21594879 \h </w:instrText>
      </w:r>
      <w:r>
        <w:rPr>
          <w:rFonts w:ascii="宋体" w:hAnsi="宋体"/>
          <w:sz w:val="28"/>
          <w:szCs w:val="28"/>
        </w:rPr>
        <w:fldChar w:fldCharType="separate"/>
      </w:r>
      <w:r>
        <w:rPr>
          <w:rFonts w:ascii="宋体" w:hAnsi="宋体"/>
          <w:sz w:val="28"/>
          <w:szCs w:val="28"/>
        </w:rPr>
        <w:t>60</w:t>
      </w:r>
      <w:r>
        <w:rPr>
          <w:rFonts w:ascii="宋体" w:hAnsi="宋体"/>
          <w:sz w:val="28"/>
          <w:szCs w:val="28"/>
        </w:rPr>
        <w:fldChar w:fldCharType="end"/>
      </w:r>
      <w:r>
        <w:rPr>
          <w:rFonts w:ascii="宋体" w:hAnsi="宋体"/>
          <w:sz w:val="28"/>
          <w:szCs w:val="28"/>
        </w:rPr>
        <w:fldChar w:fldCharType="end"/>
      </w:r>
    </w:p>
    <w:p>
      <w:pPr>
        <w:spacing w:line="510" w:lineRule="exact"/>
        <w:ind w:firstLine="0" w:firstLineChars="0"/>
        <w:rPr>
          <w:rFonts w:ascii="宋体" w:hAnsi="宋体" w:cstheme="minorEastAsia"/>
          <w:szCs w:val="28"/>
        </w:rPr>
      </w:pPr>
      <w:r>
        <w:rPr>
          <w:rFonts w:hint="eastAsia" w:ascii="宋体" w:hAnsi="宋体" w:cstheme="minorEastAsia"/>
          <w:szCs w:val="28"/>
        </w:rPr>
        <w:fldChar w:fldCharType="end"/>
      </w:r>
    </w:p>
    <w:p>
      <w:pPr>
        <w:spacing w:line="500" w:lineRule="exact"/>
        <w:ind w:firstLine="0" w:firstLineChars="0"/>
        <w:rPr>
          <w:rFonts w:asciiTheme="minorEastAsia" w:hAnsiTheme="minorEastAsia" w:eastAsiaTheme="minorEastAsia" w:cstheme="minorEastAsia"/>
          <w:sz w:val="24"/>
        </w:rPr>
      </w:pPr>
    </w:p>
    <w:p>
      <w:pPr>
        <w:spacing w:line="480" w:lineRule="exact"/>
        <w:ind w:firstLine="562"/>
        <w:rPr>
          <w:rFonts w:asciiTheme="minorEastAsia" w:hAnsiTheme="minorEastAsia" w:eastAsiaTheme="minorEastAsia" w:cstheme="minorEastAsia"/>
          <w:b/>
          <w:bCs/>
          <w:caps/>
          <w:szCs w:val="28"/>
        </w:rPr>
      </w:pPr>
      <w:r>
        <w:rPr>
          <w:rFonts w:hint="eastAsia" w:asciiTheme="minorEastAsia" w:hAnsiTheme="minorEastAsia" w:eastAsiaTheme="minorEastAsia" w:cstheme="minorEastAsia"/>
          <w:b/>
          <w:bCs/>
          <w:caps/>
          <w:szCs w:val="28"/>
        </w:rPr>
        <w:t>附  录：图件</w:t>
      </w:r>
    </w:p>
    <w:p>
      <w:pPr>
        <w:pStyle w:val="11"/>
        <w:tabs>
          <w:tab w:val="right" w:leader="dot" w:pos="8296"/>
        </w:tabs>
        <w:spacing w:line="480" w:lineRule="exact"/>
        <w:ind w:leftChars="100" w:firstLine="560"/>
        <w:rPr>
          <w:rFonts w:ascii="宋体" w:hAnsi="宋体" w:cstheme="minorEastAsia"/>
          <w:sz w:val="28"/>
          <w:szCs w:val="28"/>
        </w:rPr>
      </w:pPr>
      <w:r>
        <w:rPr>
          <w:rFonts w:hint="eastAsia" w:ascii="宋体" w:hAnsi="宋体" w:cstheme="minorEastAsia"/>
          <w:sz w:val="28"/>
          <w:szCs w:val="28"/>
        </w:rPr>
        <w:t>0</w:t>
      </w:r>
      <w:r>
        <w:fldChar w:fldCharType="begin"/>
      </w:r>
      <w:r>
        <w:instrText xml:space="preserve"> HYPERLINK \l "_Toc525248858" </w:instrText>
      </w:r>
      <w:r>
        <w:fldChar w:fldCharType="separate"/>
      </w:r>
      <w:r>
        <w:rPr>
          <w:rFonts w:hint="eastAsia" w:ascii="宋体" w:hAnsi="宋体" w:cstheme="minorEastAsia"/>
          <w:sz w:val="28"/>
          <w:szCs w:val="28"/>
        </w:rPr>
        <w:t>1. 区位分析图</w:t>
      </w:r>
      <w:r>
        <w:rPr>
          <w:rFonts w:hint="eastAsia" w:ascii="宋体" w:hAnsi="宋体" w:cstheme="minorEastAsia"/>
          <w:sz w:val="28"/>
          <w:szCs w:val="28"/>
        </w:rPr>
        <w:fldChar w:fldCharType="end"/>
      </w:r>
    </w:p>
    <w:p>
      <w:pPr>
        <w:pStyle w:val="11"/>
        <w:tabs>
          <w:tab w:val="right" w:leader="dot" w:pos="8296"/>
        </w:tabs>
        <w:spacing w:line="480" w:lineRule="exact"/>
        <w:ind w:leftChars="100" w:firstLine="560"/>
        <w:rPr>
          <w:rFonts w:ascii="宋体" w:hAnsi="宋体" w:cstheme="minorEastAsia"/>
          <w:sz w:val="28"/>
          <w:szCs w:val="28"/>
        </w:rPr>
      </w:pPr>
      <w:r>
        <w:rPr>
          <w:rFonts w:hint="eastAsia" w:ascii="宋体" w:hAnsi="宋体" w:cstheme="minorEastAsia"/>
          <w:sz w:val="28"/>
          <w:szCs w:val="28"/>
        </w:rPr>
        <w:t>0</w:t>
      </w:r>
      <w:r>
        <w:fldChar w:fldCharType="begin"/>
      </w:r>
      <w:r>
        <w:instrText xml:space="preserve"> HYPERLINK \l "_Toc525248858" </w:instrText>
      </w:r>
      <w:r>
        <w:fldChar w:fldCharType="separate"/>
      </w:r>
      <w:r>
        <w:rPr>
          <w:rFonts w:hint="eastAsia" w:ascii="宋体" w:hAnsi="宋体" w:cstheme="minorEastAsia"/>
          <w:sz w:val="28"/>
          <w:szCs w:val="28"/>
        </w:rPr>
        <w:t>2. 兴安县行政区划图</w:t>
      </w:r>
      <w:r>
        <w:rPr>
          <w:rFonts w:hint="eastAsia" w:ascii="宋体" w:hAnsi="宋体" w:cstheme="minorEastAsia"/>
          <w:sz w:val="28"/>
          <w:szCs w:val="28"/>
        </w:rPr>
        <w:fldChar w:fldCharType="end"/>
      </w:r>
    </w:p>
    <w:p>
      <w:pPr>
        <w:pStyle w:val="11"/>
        <w:tabs>
          <w:tab w:val="right" w:leader="dot" w:pos="8296"/>
        </w:tabs>
        <w:spacing w:line="480" w:lineRule="exact"/>
        <w:ind w:leftChars="100" w:firstLine="560"/>
        <w:rPr>
          <w:rFonts w:ascii="宋体" w:hAnsi="宋体" w:cstheme="minorEastAsia"/>
          <w:sz w:val="28"/>
          <w:szCs w:val="28"/>
        </w:rPr>
      </w:pPr>
      <w:r>
        <w:rPr>
          <w:rFonts w:hint="eastAsia" w:ascii="宋体" w:hAnsi="宋体" w:cstheme="minorEastAsia"/>
          <w:sz w:val="28"/>
          <w:szCs w:val="28"/>
        </w:rPr>
        <w:t>0</w:t>
      </w:r>
      <w:r>
        <w:fldChar w:fldCharType="begin"/>
      </w:r>
      <w:r>
        <w:instrText xml:space="preserve"> HYPERLINK \l "_Toc525248858" </w:instrText>
      </w:r>
      <w:r>
        <w:fldChar w:fldCharType="separate"/>
      </w:r>
      <w:r>
        <w:rPr>
          <w:rFonts w:hint="eastAsia" w:ascii="宋体" w:hAnsi="宋体" w:cstheme="minorEastAsia"/>
          <w:sz w:val="28"/>
          <w:szCs w:val="28"/>
        </w:rPr>
        <w:t>3. 交通现状图</w:t>
      </w:r>
      <w:r>
        <w:rPr>
          <w:rFonts w:hint="eastAsia" w:ascii="宋体" w:hAnsi="宋体" w:cstheme="minorEastAsia"/>
          <w:sz w:val="28"/>
          <w:szCs w:val="28"/>
        </w:rPr>
        <w:fldChar w:fldCharType="end"/>
      </w:r>
    </w:p>
    <w:p>
      <w:pPr>
        <w:pStyle w:val="11"/>
        <w:tabs>
          <w:tab w:val="right" w:leader="dot" w:pos="8296"/>
        </w:tabs>
        <w:spacing w:line="480" w:lineRule="exact"/>
        <w:ind w:leftChars="100" w:firstLine="560"/>
        <w:rPr>
          <w:rFonts w:ascii="宋体" w:hAnsi="宋体" w:cstheme="minorEastAsia"/>
          <w:sz w:val="28"/>
          <w:szCs w:val="28"/>
        </w:rPr>
      </w:pPr>
      <w:r>
        <w:rPr>
          <w:rFonts w:hint="eastAsia" w:ascii="宋体" w:hAnsi="宋体" w:cstheme="minorEastAsia"/>
          <w:sz w:val="28"/>
          <w:szCs w:val="28"/>
        </w:rPr>
        <w:t>0</w:t>
      </w:r>
      <w:r>
        <w:fldChar w:fldCharType="begin"/>
      </w:r>
      <w:r>
        <w:instrText xml:space="preserve"> HYPERLINK \l "_Toc525248858" </w:instrText>
      </w:r>
      <w:r>
        <w:fldChar w:fldCharType="separate"/>
      </w:r>
      <w:r>
        <w:rPr>
          <w:rFonts w:hint="eastAsia" w:ascii="宋体" w:hAnsi="宋体" w:cstheme="minorEastAsia"/>
          <w:sz w:val="28"/>
          <w:szCs w:val="28"/>
        </w:rPr>
        <w:t>4. 地形地貌图</w:t>
      </w:r>
      <w:r>
        <w:rPr>
          <w:rFonts w:hint="eastAsia" w:ascii="宋体" w:hAnsi="宋体" w:cstheme="minorEastAsia"/>
          <w:sz w:val="28"/>
          <w:szCs w:val="28"/>
        </w:rPr>
        <w:fldChar w:fldCharType="end"/>
      </w:r>
    </w:p>
    <w:p>
      <w:pPr>
        <w:pStyle w:val="11"/>
        <w:tabs>
          <w:tab w:val="right" w:leader="dot" w:pos="8296"/>
        </w:tabs>
        <w:spacing w:line="480" w:lineRule="exact"/>
        <w:ind w:leftChars="100" w:firstLine="560"/>
        <w:rPr>
          <w:rFonts w:ascii="宋体" w:hAnsi="宋体" w:cstheme="minorEastAsia"/>
          <w:sz w:val="28"/>
          <w:szCs w:val="28"/>
        </w:rPr>
      </w:pPr>
      <w:r>
        <w:rPr>
          <w:rFonts w:hint="eastAsia" w:ascii="宋体" w:hAnsi="宋体" w:cstheme="minorEastAsia"/>
          <w:sz w:val="28"/>
          <w:szCs w:val="28"/>
        </w:rPr>
        <w:t>0</w:t>
      </w:r>
      <w:r>
        <w:fldChar w:fldCharType="begin"/>
      </w:r>
      <w:r>
        <w:instrText xml:space="preserve"> HYPERLINK \l "_Toc525248858" </w:instrText>
      </w:r>
      <w:r>
        <w:fldChar w:fldCharType="separate"/>
      </w:r>
      <w:r>
        <w:rPr>
          <w:rFonts w:hint="eastAsia" w:ascii="宋体" w:hAnsi="宋体" w:cstheme="minorEastAsia"/>
          <w:sz w:val="28"/>
          <w:szCs w:val="28"/>
        </w:rPr>
        <w:t>5. 河流水域分布图</w:t>
      </w:r>
      <w:r>
        <w:rPr>
          <w:rFonts w:hint="eastAsia" w:ascii="宋体" w:hAnsi="宋体" w:cstheme="minorEastAsia"/>
          <w:sz w:val="28"/>
          <w:szCs w:val="28"/>
        </w:rPr>
        <w:fldChar w:fldCharType="end"/>
      </w:r>
    </w:p>
    <w:p>
      <w:pPr>
        <w:pStyle w:val="11"/>
        <w:tabs>
          <w:tab w:val="right" w:leader="dot" w:pos="8296"/>
        </w:tabs>
        <w:spacing w:line="480" w:lineRule="exact"/>
        <w:ind w:leftChars="100" w:firstLine="560"/>
        <w:rPr>
          <w:rFonts w:ascii="宋体" w:hAnsi="宋体" w:cstheme="minorEastAsia"/>
          <w:sz w:val="28"/>
          <w:szCs w:val="28"/>
        </w:rPr>
      </w:pPr>
      <w:r>
        <w:rPr>
          <w:rFonts w:ascii="宋体" w:hAnsi="宋体" w:cstheme="minorEastAsia"/>
          <w:sz w:val="28"/>
          <w:szCs w:val="28"/>
        </w:rPr>
        <w:t>0</w:t>
      </w:r>
      <w:r>
        <w:fldChar w:fldCharType="begin"/>
      </w:r>
      <w:r>
        <w:instrText xml:space="preserve"> HYPERLINK \l "_Toc525248858" </w:instrText>
      </w:r>
      <w:r>
        <w:fldChar w:fldCharType="separate"/>
      </w:r>
      <w:r>
        <w:rPr>
          <w:rFonts w:ascii="宋体" w:hAnsi="宋体" w:cstheme="minorEastAsia"/>
          <w:sz w:val="28"/>
          <w:szCs w:val="28"/>
        </w:rPr>
        <w:t xml:space="preserve">6. </w:t>
      </w:r>
      <w:r>
        <w:rPr>
          <w:rFonts w:hint="eastAsia" w:ascii="宋体" w:hAnsi="宋体" w:cstheme="minorEastAsia"/>
          <w:sz w:val="28"/>
          <w:szCs w:val="28"/>
        </w:rPr>
        <w:t>主导产业种植现状</w:t>
      </w:r>
      <w:r>
        <w:rPr>
          <w:rFonts w:hint="eastAsia" w:ascii="宋体" w:hAnsi="宋体" w:cstheme="minorEastAsia"/>
          <w:sz w:val="28"/>
          <w:szCs w:val="28"/>
        </w:rPr>
        <w:fldChar w:fldCharType="end"/>
      </w:r>
      <w:r>
        <w:rPr>
          <w:rFonts w:hint="eastAsia" w:ascii="宋体" w:hAnsi="宋体" w:cstheme="minorEastAsia"/>
          <w:sz w:val="28"/>
          <w:szCs w:val="28"/>
        </w:rPr>
        <w:t>分布图</w:t>
      </w:r>
    </w:p>
    <w:p>
      <w:pPr>
        <w:pStyle w:val="11"/>
        <w:tabs>
          <w:tab w:val="right" w:leader="dot" w:pos="8296"/>
        </w:tabs>
        <w:spacing w:line="480" w:lineRule="exact"/>
        <w:ind w:leftChars="100" w:firstLine="560"/>
        <w:rPr>
          <w:rFonts w:ascii="宋体" w:hAnsi="宋体" w:cstheme="minorEastAsia"/>
          <w:sz w:val="28"/>
          <w:szCs w:val="28"/>
        </w:rPr>
      </w:pPr>
      <w:r>
        <w:rPr>
          <w:rFonts w:ascii="宋体" w:hAnsi="宋体" w:cstheme="minorEastAsia"/>
          <w:sz w:val="28"/>
          <w:szCs w:val="28"/>
        </w:rPr>
        <w:t>0</w:t>
      </w:r>
      <w:r>
        <w:fldChar w:fldCharType="begin"/>
      </w:r>
      <w:r>
        <w:instrText xml:space="preserve"> HYPERLINK \l "_Toc525248858" </w:instrText>
      </w:r>
      <w:r>
        <w:fldChar w:fldCharType="separate"/>
      </w:r>
      <w:r>
        <w:rPr>
          <w:rFonts w:ascii="宋体" w:hAnsi="宋体" w:cstheme="minorEastAsia"/>
          <w:sz w:val="28"/>
          <w:szCs w:val="28"/>
        </w:rPr>
        <w:t xml:space="preserve">7. </w:t>
      </w:r>
      <w:r>
        <w:rPr>
          <w:rFonts w:ascii="宋体" w:hAnsi="宋体" w:cstheme="minorEastAsia"/>
          <w:sz w:val="28"/>
          <w:szCs w:val="28"/>
        </w:rPr>
        <w:fldChar w:fldCharType="end"/>
      </w:r>
      <w:r>
        <w:rPr>
          <w:rFonts w:hint="eastAsia" w:ascii="宋体" w:hAnsi="宋体" w:cstheme="minorEastAsia"/>
          <w:sz w:val="28"/>
          <w:szCs w:val="28"/>
        </w:rPr>
        <w:t>空间布局图</w:t>
      </w:r>
    </w:p>
    <w:p>
      <w:pPr>
        <w:pStyle w:val="11"/>
        <w:tabs>
          <w:tab w:val="right" w:leader="dot" w:pos="8296"/>
        </w:tabs>
        <w:spacing w:line="480" w:lineRule="exact"/>
        <w:ind w:leftChars="100" w:firstLine="560"/>
        <w:rPr>
          <w:rFonts w:ascii="宋体" w:hAnsi="宋体" w:cstheme="minorEastAsia"/>
          <w:sz w:val="28"/>
          <w:szCs w:val="28"/>
        </w:rPr>
      </w:pPr>
      <w:r>
        <w:rPr>
          <w:rFonts w:hint="eastAsia" w:ascii="宋体" w:hAnsi="宋体" w:cstheme="minorEastAsia"/>
          <w:sz w:val="28"/>
          <w:szCs w:val="28"/>
        </w:rPr>
        <w:t>0</w:t>
      </w:r>
      <w:r>
        <w:fldChar w:fldCharType="begin"/>
      </w:r>
      <w:r>
        <w:instrText xml:space="preserve"> HYPERLINK \l "_Toc525248858" </w:instrText>
      </w:r>
      <w:r>
        <w:fldChar w:fldCharType="separate"/>
      </w:r>
      <w:r>
        <w:rPr>
          <w:rFonts w:hint="eastAsia" w:ascii="宋体" w:hAnsi="宋体" w:cstheme="minorEastAsia"/>
          <w:sz w:val="28"/>
          <w:szCs w:val="28"/>
        </w:rPr>
        <w:t xml:space="preserve">8. </w:t>
      </w:r>
      <w:r>
        <w:rPr>
          <w:rFonts w:hint="eastAsia" w:ascii="宋体" w:hAnsi="宋体" w:cstheme="minorEastAsia"/>
          <w:sz w:val="28"/>
          <w:szCs w:val="28"/>
        </w:rPr>
        <w:fldChar w:fldCharType="end"/>
      </w:r>
      <w:r>
        <w:rPr>
          <w:rFonts w:hint="eastAsia" w:ascii="宋体" w:hAnsi="宋体" w:cstheme="minorEastAsia"/>
          <w:sz w:val="28"/>
          <w:szCs w:val="28"/>
        </w:rPr>
        <w:t>葡萄产业发展与布局图</w:t>
      </w:r>
    </w:p>
    <w:p>
      <w:pPr>
        <w:pStyle w:val="11"/>
        <w:tabs>
          <w:tab w:val="right" w:leader="dot" w:pos="8296"/>
        </w:tabs>
        <w:spacing w:line="480" w:lineRule="exact"/>
        <w:ind w:leftChars="100" w:firstLine="560"/>
        <w:rPr>
          <w:rFonts w:ascii="宋体" w:hAnsi="宋体" w:cstheme="minorEastAsia"/>
          <w:sz w:val="28"/>
          <w:szCs w:val="28"/>
        </w:rPr>
      </w:pPr>
      <w:r>
        <w:rPr>
          <w:rFonts w:hint="eastAsia" w:ascii="宋体" w:hAnsi="宋体" w:cstheme="minorEastAsia"/>
          <w:sz w:val="28"/>
          <w:szCs w:val="28"/>
        </w:rPr>
        <w:t>0</w:t>
      </w:r>
      <w:r>
        <w:fldChar w:fldCharType="begin"/>
      </w:r>
      <w:r>
        <w:instrText xml:space="preserve"> HYPERLINK \l "_Toc525248858" </w:instrText>
      </w:r>
      <w:r>
        <w:fldChar w:fldCharType="separate"/>
      </w:r>
      <w:r>
        <w:rPr>
          <w:rFonts w:hint="eastAsia" w:ascii="宋体" w:hAnsi="宋体" w:cstheme="minorEastAsia"/>
          <w:sz w:val="28"/>
          <w:szCs w:val="28"/>
        </w:rPr>
        <w:t xml:space="preserve">9. </w:t>
      </w:r>
      <w:r>
        <w:rPr>
          <w:rFonts w:hint="eastAsia" w:ascii="宋体" w:hAnsi="宋体" w:cstheme="minorEastAsia"/>
          <w:sz w:val="28"/>
          <w:szCs w:val="28"/>
        </w:rPr>
        <w:fldChar w:fldCharType="end"/>
      </w:r>
      <w:r>
        <w:rPr>
          <w:rFonts w:hint="eastAsia" w:ascii="宋体" w:hAnsi="宋体" w:cstheme="minorEastAsia"/>
          <w:sz w:val="28"/>
          <w:szCs w:val="28"/>
        </w:rPr>
        <w:t>银杏产业发展与布局图</w:t>
      </w:r>
    </w:p>
    <w:p>
      <w:pPr>
        <w:pStyle w:val="11"/>
        <w:tabs>
          <w:tab w:val="right" w:leader="dot" w:pos="8296"/>
        </w:tabs>
        <w:spacing w:line="480" w:lineRule="exact"/>
        <w:ind w:leftChars="100" w:firstLine="560"/>
        <w:rPr>
          <w:rFonts w:hint="eastAsia" w:ascii="宋体" w:hAnsi="宋体" w:cstheme="minorEastAsia"/>
          <w:sz w:val="28"/>
          <w:szCs w:val="28"/>
        </w:rPr>
      </w:pPr>
      <w:r>
        <w:rPr>
          <w:rFonts w:hint="eastAsia" w:ascii="宋体" w:hAnsi="宋体" w:cstheme="minorEastAsia"/>
          <w:sz w:val="28"/>
          <w:szCs w:val="28"/>
        </w:rPr>
        <w:fldChar w:fldCharType="begin"/>
      </w:r>
      <w:r>
        <w:rPr>
          <w:rFonts w:hint="eastAsia" w:ascii="宋体" w:hAnsi="宋体" w:cstheme="minorEastAsia"/>
          <w:sz w:val="28"/>
          <w:szCs w:val="28"/>
        </w:rPr>
        <w:instrText xml:space="preserve"> HYPERLINK \l "_Toc525248858" </w:instrText>
      </w:r>
      <w:r>
        <w:rPr>
          <w:rFonts w:hint="eastAsia" w:ascii="宋体" w:hAnsi="宋体" w:cstheme="minorEastAsia"/>
          <w:sz w:val="28"/>
          <w:szCs w:val="28"/>
        </w:rPr>
        <w:fldChar w:fldCharType="separate"/>
      </w:r>
      <w:r>
        <w:rPr>
          <w:rFonts w:hint="eastAsia" w:ascii="宋体" w:hAnsi="宋体" w:cstheme="minorEastAsia"/>
          <w:sz w:val="28"/>
          <w:szCs w:val="28"/>
        </w:rPr>
        <w:t xml:space="preserve">10. </w:t>
      </w:r>
      <w:r>
        <w:rPr>
          <w:rFonts w:hint="eastAsia" w:ascii="宋体" w:hAnsi="宋体" w:cstheme="minorEastAsia"/>
          <w:sz w:val="28"/>
          <w:szCs w:val="28"/>
        </w:rPr>
        <w:fldChar w:fldCharType="end"/>
      </w:r>
      <w:r>
        <w:rPr>
          <w:rFonts w:hint="eastAsia" w:ascii="宋体" w:hAnsi="宋体" w:cstheme="minorEastAsia"/>
          <w:sz w:val="28"/>
          <w:szCs w:val="28"/>
        </w:rPr>
        <w:t>甜玉米产业发展与布局图</w:t>
      </w:r>
    </w:p>
    <w:p>
      <w:pPr>
        <w:pStyle w:val="11"/>
        <w:tabs>
          <w:tab w:val="right" w:leader="dot" w:pos="8296"/>
        </w:tabs>
        <w:spacing w:line="480" w:lineRule="exact"/>
        <w:ind w:leftChars="100" w:firstLine="560"/>
        <w:rPr>
          <w:rFonts w:hint="eastAsia" w:ascii="宋体" w:hAnsi="宋体" w:cstheme="minorEastAsia"/>
          <w:sz w:val="28"/>
          <w:szCs w:val="28"/>
        </w:rPr>
      </w:pPr>
      <w:r>
        <w:rPr>
          <w:rFonts w:hint="eastAsia" w:ascii="宋体" w:hAnsi="宋体" w:cstheme="minorEastAsia"/>
          <w:sz w:val="28"/>
          <w:szCs w:val="28"/>
        </w:rPr>
        <w:fldChar w:fldCharType="begin"/>
      </w:r>
      <w:r>
        <w:rPr>
          <w:rFonts w:hint="eastAsia" w:ascii="宋体" w:hAnsi="宋体" w:cstheme="minorEastAsia"/>
          <w:sz w:val="28"/>
          <w:szCs w:val="28"/>
        </w:rPr>
        <w:instrText xml:space="preserve"> HYPERLINK \l "_Toc525248858" </w:instrText>
      </w:r>
      <w:r>
        <w:rPr>
          <w:rFonts w:hint="eastAsia" w:ascii="宋体" w:hAnsi="宋体" w:cstheme="minorEastAsia"/>
          <w:sz w:val="28"/>
          <w:szCs w:val="28"/>
        </w:rPr>
        <w:fldChar w:fldCharType="separate"/>
      </w:r>
      <w:r>
        <w:rPr>
          <w:rFonts w:hint="eastAsia" w:ascii="宋体" w:hAnsi="宋体" w:cstheme="minorEastAsia"/>
          <w:sz w:val="28"/>
          <w:szCs w:val="28"/>
        </w:rPr>
        <w:t xml:space="preserve">11. </w:t>
      </w:r>
      <w:r>
        <w:rPr>
          <w:rFonts w:hint="eastAsia" w:ascii="宋体" w:hAnsi="宋体" w:cstheme="minorEastAsia"/>
          <w:sz w:val="28"/>
          <w:szCs w:val="28"/>
        </w:rPr>
        <w:fldChar w:fldCharType="end"/>
      </w:r>
      <w:r>
        <w:rPr>
          <w:rFonts w:hint="eastAsia" w:ascii="宋体" w:hAnsi="宋体" w:cstheme="minorEastAsia"/>
          <w:sz w:val="28"/>
          <w:szCs w:val="28"/>
        </w:rPr>
        <w:t>柑桔产业发展与布局图</w:t>
      </w:r>
    </w:p>
    <w:p>
      <w:pPr>
        <w:pStyle w:val="11"/>
        <w:tabs>
          <w:tab w:val="right" w:leader="dot" w:pos="8296"/>
        </w:tabs>
        <w:spacing w:line="480" w:lineRule="exact"/>
        <w:ind w:leftChars="100" w:firstLine="560"/>
        <w:rPr>
          <w:rFonts w:ascii="宋体" w:hAnsi="宋体" w:cstheme="minorEastAsia"/>
          <w:sz w:val="28"/>
          <w:szCs w:val="28"/>
        </w:rPr>
      </w:pPr>
      <w:r>
        <w:fldChar w:fldCharType="begin"/>
      </w:r>
      <w:r>
        <w:instrText xml:space="preserve"> HYPERLINK \l "_Toc525248858" </w:instrText>
      </w:r>
      <w:r>
        <w:fldChar w:fldCharType="separate"/>
      </w:r>
      <w:r>
        <w:rPr>
          <w:rFonts w:hint="eastAsia" w:ascii="宋体" w:hAnsi="宋体" w:cstheme="minorEastAsia"/>
          <w:sz w:val="28"/>
          <w:szCs w:val="28"/>
        </w:rPr>
        <w:t xml:space="preserve">12. </w:t>
      </w:r>
      <w:r>
        <w:rPr>
          <w:rFonts w:hint="eastAsia" w:ascii="宋体" w:hAnsi="宋体" w:cstheme="minorEastAsia"/>
          <w:sz w:val="28"/>
          <w:szCs w:val="28"/>
        </w:rPr>
        <w:fldChar w:fldCharType="end"/>
      </w:r>
      <w:r>
        <w:rPr>
          <w:rFonts w:hint="eastAsia" w:ascii="宋体" w:hAnsi="宋体" w:cstheme="minorEastAsia"/>
          <w:sz w:val="28"/>
          <w:szCs w:val="28"/>
        </w:rPr>
        <w:t>食用菌产业发展与布局图</w:t>
      </w:r>
    </w:p>
    <w:p>
      <w:pPr>
        <w:pStyle w:val="11"/>
        <w:tabs>
          <w:tab w:val="right" w:leader="dot" w:pos="8296"/>
        </w:tabs>
        <w:spacing w:line="480" w:lineRule="exact"/>
        <w:ind w:leftChars="100" w:firstLine="560"/>
        <w:rPr>
          <w:rFonts w:ascii="宋体" w:hAnsi="宋体" w:cstheme="minorEastAsia"/>
          <w:sz w:val="28"/>
          <w:szCs w:val="28"/>
        </w:rPr>
      </w:pPr>
      <w:r>
        <w:fldChar w:fldCharType="begin"/>
      </w:r>
      <w:r>
        <w:instrText xml:space="preserve"> HYPERLINK \l "_Toc525248858" </w:instrText>
      </w:r>
      <w:r>
        <w:fldChar w:fldCharType="separate"/>
      </w:r>
      <w:r>
        <w:rPr>
          <w:rFonts w:hint="eastAsia" w:ascii="宋体" w:hAnsi="宋体" w:cstheme="minorEastAsia"/>
          <w:sz w:val="28"/>
          <w:szCs w:val="28"/>
        </w:rPr>
        <w:t>1</w:t>
      </w:r>
      <w:r>
        <w:rPr>
          <w:rFonts w:ascii="宋体" w:hAnsi="宋体" w:cstheme="minorEastAsia"/>
          <w:sz w:val="28"/>
          <w:szCs w:val="28"/>
        </w:rPr>
        <w:t>3</w:t>
      </w:r>
      <w:r>
        <w:rPr>
          <w:rFonts w:hint="eastAsia" w:ascii="宋体" w:hAnsi="宋体" w:cstheme="minorEastAsia"/>
          <w:sz w:val="28"/>
          <w:szCs w:val="28"/>
        </w:rPr>
        <w:t xml:space="preserve">. </w:t>
      </w:r>
      <w:r>
        <w:rPr>
          <w:rFonts w:hint="eastAsia" w:ascii="宋体" w:hAnsi="宋体" w:cstheme="minorEastAsia"/>
          <w:sz w:val="28"/>
          <w:szCs w:val="28"/>
        </w:rPr>
        <w:fldChar w:fldCharType="end"/>
      </w:r>
      <w:r>
        <w:rPr>
          <w:rFonts w:hint="eastAsia" w:ascii="宋体" w:hAnsi="宋体" w:cstheme="minorEastAsia"/>
          <w:sz w:val="28"/>
          <w:szCs w:val="28"/>
        </w:rPr>
        <w:t>科研机构、优质育苗培育分布图</w:t>
      </w:r>
    </w:p>
    <w:p>
      <w:pPr>
        <w:pStyle w:val="11"/>
        <w:tabs>
          <w:tab w:val="right" w:leader="dot" w:pos="8296"/>
        </w:tabs>
        <w:spacing w:line="480" w:lineRule="exact"/>
        <w:ind w:leftChars="100" w:firstLine="560"/>
        <w:rPr>
          <w:rFonts w:ascii="宋体" w:hAnsi="宋体" w:cstheme="minorEastAsia"/>
          <w:sz w:val="28"/>
          <w:szCs w:val="28"/>
        </w:rPr>
      </w:pPr>
      <w:r>
        <w:fldChar w:fldCharType="begin"/>
      </w:r>
      <w:r>
        <w:instrText xml:space="preserve"> HYPERLINK \l "_Toc525248858" </w:instrText>
      </w:r>
      <w:r>
        <w:fldChar w:fldCharType="separate"/>
      </w:r>
      <w:r>
        <w:rPr>
          <w:rFonts w:hint="eastAsia" w:ascii="宋体" w:hAnsi="宋体" w:cstheme="minorEastAsia"/>
          <w:sz w:val="28"/>
          <w:szCs w:val="28"/>
        </w:rPr>
        <w:t>1</w:t>
      </w:r>
      <w:r>
        <w:rPr>
          <w:rFonts w:ascii="宋体" w:hAnsi="宋体" w:cstheme="minorEastAsia"/>
          <w:sz w:val="28"/>
          <w:szCs w:val="28"/>
        </w:rPr>
        <w:t>4</w:t>
      </w:r>
      <w:r>
        <w:rPr>
          <w:rFonts w:hint="eastAsia" w:ascii="宋体" w:hAnsi="宋体" w:cstheme="minorEastAsia"/>
          <w:sz w:val="28"/>
          <w:szCs w:val="28"/>
        </w:rPr>
        <w:t xml:space="preserve">. </w:t>
      </w:r>
      <w:r>
        <w:rPr>
          <w:rFonts w:hint="eastAsia" w:ascii="宋体" w:hAnsi="宋体" w:cstheme="minorEastAsia"/>
          <w:sz w:val="28"/>
          <w:szCs w:val="28"/>
        </w:rPr>
        <w:fldChar w:fldCharType="end"/>
      </w:r>
      <w:r>
        <w:rPr>
          <w:rFonts w:hint="eastAsia" w:ascii="宋体" w:hAnsi="宋体" w:cstheme="minorEastAsia"/>
          <w:sz w:val="28"/>
          <w:szCs w:val="28"/>
        </w:rPr>
        <w:t>加工贸易仓储物流分布图</w:t>
      </w:r>
    </w:p>
    <w:p>
      <w:pPr>
        <w:pStyle w:val="11"/>
        <w:tabs>
          <w:tab w:val="right" w:leader="dot" w:pos="8296"/>
        </w:tabs>
        <w:spacing w:line="480" w:lineRule="exact"/>
        <w:ind w:leftChars="100" w:firstLine="560"/>
        <w:rPr>
          <w:rFonts w:ascii="宋体" w:hAnsi="宋体" w:cstheme="minorEastAsia"/>
          <w:sz w:val="28"/>
          <w:szCs w:val="28"/>
        </w:rPr>
      </w:pPr>
      <w:r>
        <w:fldChar w:fldCharType="begin"/>
      </w:r>
      <w:r>
        <w:instrText xml:space="preserve"> HYPERLINK \l "_Toc525248858" </w:instrText>
      </w:r>
      <w:r>
        <w:fldChar w:fldCharType="separate"/>
      </w:r>
      <w:r>
        <w:rPr>
          <w:rFonts w:hint="eastAsia" w:ascii="宋体" w:hAnsi="宋体" w:cstheme="minorEastAsia"/>
          <w:sz w:val="28"/>
          <w:szCs w:val="28"/>
        </w:rPr>
        <w:t>1</w:t>
      </w:r>
      <w:r>
        <w:rPr>
          <w:rFonts w:ascii="宋体" w:hAnsi="宋体" w:cstheme="minorEastAsia"/>
          <w:sz w:val="28"/>
          <w:szCs w:val="28"/>
        </w:rPr>
        <w:t>5</w:t>
      </w:r>
      <w:r>
        <w:rPr>
          <w:rFonts w:hint="eastAsia" w:ascii="宋体" w:hAnsi="宋体" w:cstheme="minorEastAsia"/>
          <w:sz w:val="28"/>
          <w:szCs w:val="28"/>
        </w:rPr>
        <w:t xml:space="preserve">. </w:t>
      </w:r>
      <w:r>
        <w:rPr>
          <w:rFonts w:hint="eastAsia" w:ascii="宋体" w:hAnsi="宋体" w:cstheme="minorEastAsia"/>
          <w:sz w:val="28"/>
          <w:szCs w:val="28"/>
        </w:rPr>
        <w:fldChar w:fldCharType="end"/>
      </w:r>
      <w:r>
        <w:rPr>
          <w:rFonts w:hint="eastAsia" w:ascii="宋体" w:hAnsi="宋体" w:cstheme="minorEastAsia"/>
          <w:sz w:val="28"/>
          <w:szCs w:val="28"/>
        </w:rPr>
        <w:t>营销市场分布图</w:t>
      </w:r>
    </w:p>
    <w:p>
      <w:pPr>
        <w:pStyle w:val="11"/>
        <w:tabs>
          <w:tab w:val="right" w:leader="dot" w:pos="8296"/>
        </w:tabs>
        <w:spacing w:line="480" w:lineRule="exact"/>
        <w:ind w:leftChars="100" w:firstLine="560"/>
        <w:rPr>
          <w:rFonts w:ascii="宋体" w:hAnsi="宋体" w:cstheme="minorEastAsia"/>
          <w:sz w:val="28"/>
          <w:szCs w:val="28"/>
        </w:rPr>
      </w:pPr>
      <w:r>
        <w:fldChar w:fldCharType="begin"/>
      </w:r>
      <w:r>
        <w:instrText xml:space="preserve"> HYPERLINK \l "_Toc525248858" </w:instrText>
      </w:r>
      <w:r>
        <w:fldChar w:fldCharType="separate"/>
      </w:r>
      <w:r>
        <w:rPr>
          <w:rFonts w:hint="eastAsia" w:ascii="宋体" w:hAnsi="宋体" w:cstheme="minorEastAsia"/>
          <w:sz w:val="28"/>
          <w:szCs w:val="28"/>
        </w:rPr>
        <w:t>1</w:t>
      </w:r>
      <w:r>
        <w:rPr>
          <w:rFonts w:ascii="宋体" w:hAnsi="宋体" w:cstheme="minorEastAsia"/>
          <w:sz w:val="28"/>
          <w:szCs w:val="28"/>
        </w:rPr>
        <w:t>6</w:t>
      </w:r>
      <w:r>
        <w:rPr>
          <w:rFonts w:hint="eastAsia" w:ascii="宋体" w:hAnsi="宋体" w:cstheme="minorEastAsia"/>
          <w:sz w:val="28"/>
          <w:szCs w:val="28"/>
        </w:rPr>
        <w:t xml:space="preserve">. </w:t>
      </w:r>
      <w:r>
        <w:rPr>
          <w:rFonts w:hint="eastAsia" w:ascii="宋体" w:hAnsi="宋体" w:cstheme="minorEastAsia"/>
          <w:sz w:val="28"/>
          <w:szCs w:val="28"/>
        </w:rPr>
        <w:fldChar w:fldCharType="end"/>
      </w:r>
      <w:r>
        <w:rPr>
          <w:rFonts w:hint="eastAsia" w:ascii="宋体" w:hAnsi="宋体" w:cstheme="minorEastAsia"/>
          <w:sz w:val="28"/>
          <w:szCs w:val="28"/>
        </w:rPr>
        <w:t>电商分布图</w:t>
      </w:r>
    </w:p>
    <w:p>
      <w:pPr>
        <w:ind w:firstLine="560"/>
      </w:pPr>
    </w:p>
    <w:p>
      <w:pPr>
        <w:ind w:firstLine="560"/>
      </w:pPr>
    </w:p>
    <w:p>
      <w:pPr>
        <w:pStyle w:val="11"/>
        <w:tabs>
          <w:tab w:val="right" w:leader="dot" w:pos="8296"/>
        </w:tabs>
        <w:spacing w:line="480" w:lineRule="exact"/>
        <w:ind w:left="0" w:firstLine="0" w:firstLineChars="0"/>
        <w:rPr>
          <w:rFonts w:ascii="宋体" w:hAnsi="宋体" w:cstheme="minorEastAsia"/>
          <w:b/>
          <w:bCs/>
          <w:caps/>
          <w:szCs w:val="28"/>
        </w:rPr>
      </w:pPr>
      <w:r>
        <w:rPr>
          <w:rFonts w:hint="eastAsia" w:ascii="宋体" w:hAnsi="宋体" w:cstheme="minorEastAsia"/>
          <w:b/>
          <w:bCs/>
          <w:caps/>
          <w:smallCaps w:val="0"/>
          <w:sz w:val="28"/>
          <w:szCs w:val="28"/>
        </w:rPr>
        <w:t>附件：</w:t>
      </w:r>
    </w:p>
    <w:p>
      <w:pPr>
        <w:ind w:firstLine="560"/>
        <w:rPr>
          <w:rFonts w:ascii="仿宋" w:hAnsi="仿宋"/>
        </w:rPr>
      </w:pPr>
      <w:r>
        <w:rPr>
          <w:rFonts w:hint="eastAsia" w:ascii="仿宋" w:hAnsi="仿宋"/>
        </w:rPr>
        <w:t>《兴安县特色农产品优势区建设规划》征求意见会修改</w:t>
      </w:r>
      <w:r>
        <w:rPr>
          <w:rFonts w:ascii="仿宋" w:hAnsi="仿宋"/>
        </w:rPr>
        <w:t>反馈</w:t>
      </w:r>
      <w:r>
        <w:rPr>
          <w:rFonts w:hint="eastAsia" w:ascii="仿宋" w:hAnsi="仿宋"/>
        </w:rPr>
        <w:t>表</w:t>
      </w:r>
    </w:p>
    <w:p>
      <w:pPr>
        <w:ind w:firstLine="560"/>
        <w:rPr>
          <w:rFonts w:ascii="仿宋" w:hAnsi="仿宋"/>
        </w:rPr>
      </w:pPr>
      <w:r>
        <w:rPr>
          <w:rFonts w:hint="eastAsia" w:ascii="仿宋" w:hAnsi="仿宋"/>
        </w:rPr>
        <w:t>《兴安县特色农产品优势区建设规划》专家评审意见修改</w:t>
      </w:r>
      <w:r>
        <w:rPr>
          <w:rFonts w:ascii="仿宋" w:hAnsi="仿宋"/>
        </w:rPr>
        <w:t>反馈</w:t>
      </w:r>
      <w:r>
        <w:rPr>
          <w:rFonts w:hint="eastAsia" w:ascii="仿宋" w:hAnsi="仿宋"/>
        </w:rPr>
        <w:t>表</w:t>
      </w:r>
    </w:p>
    <w:p>
      <w:pPr>
        <w:ind w:firstLine="560"/>
      </w:pPr>
    </w:p>
    <w:p>
      <w:pPr>
        <w:widowControl/>
        <w:spacing w:line="480" w:lineRule="exact"/>
        <w:ind w:firstLine="0" w:firstLineChars="0"/>
        <w:jc w:val="left"/>
        <w:rPr>
          <w:rFonts w:asciiTheme="minorEastAsia" w:hAnsiTheme="minorEastAsia" w:eastAsiaTheme="minorEastAsia" w:cstheme="minorEastAsia"/>
          <w:color w:val="000000" w:themeColor="text1"/>
          <w:szCs w:val="28"/>
          <w14:textFill>
            <w14:solidFill>
              <w14:schemeClr w14:val="tx1"/>
            </w14:solidFill>
          </w14:textFill>
        </w:rPr>
        <w:sectPr>
          <w:pgSz w:w="23757" w:h="16783" w:orient="landscape"/>
          <w:pgMar w:top="1440" w:right="1588" w:bottom="1440" w:left="1588" w:header="851" w:footer="992" w:gutter="0"/>
          <w:pgNumType w:fmt="upperRoman"/>
          <w:cols w:space="1401" w:num="2"/>
          <w:docGrid w:type="lines" w:linePitch="312" w:charSpace="0"/>
        </w:sectPr>
      </w:pPr>
    </w:p>
    <w:p>
      <w:pPr>
        <w:pStyle w:val="2"/>
      </w:pPr>
      <w:bookmarkStart w:id="1" w:name="_Toc18417378"/>
      <w:bookmarkStart w:id="2" w:name="_Toc21594822"/>
      <w:bookmarkStart w:id="3" w:name="_Toc529131784"/>
      <w:r>
        <w:rPr>
          <w:rFonts w:hint="eastAsia"/>
        </w:rPr>
        <w:t>第一章 规划总纲</w:t>
      </w:r>
      <w:bookmarkEnd w:id="1"/>
      <w:bookmarkEnd w:id="2"/>
      <w:bookmarkEnd w:id="3"/>
    </w:p>
    <w:p>
      <w:pPr>
        <w:pStyle w:val="3"/>
        <w:ind w:firstLine="643"/>
      </w:pPr>
      <w:bookmarkStart w:id="4" w:name="_Toc529131785"/>
      <w:bookmarkStart w:id="5" w:name="_Toc21594823"/>
      <w:bookmarkStart w:id="6" w:name="_Toc18417379"/>
      <w:r>
        <w:rPr>
          <w:rFonts w:hint="eastAsia"/>
        </w:rPr>
        <w:t>一、规划背景</w:t>
      </w:r>
      <w:bookmarkEnd w:id="4"/>
      <w:bookmarkEnd w:id="5"/>
      <w:bookmarkEnd w:id="6"/>
    </w:p>
    <w:p>
      <w:pPr>
        <w:pStyle w:val="4"/>
        <w:spacing w:before="156" w:after="156"/>
        <w:ind w:firstLine="452"/>
      </w:pPr>
      <w:r>
        <w:rPr>
          <w:rFonts w:hint="eastAsia"/>
        </w:rPr>
        <w:t>（一）特优区建设背景</w:t>
      </w:r>
    </w:p>
    <w:p>
      <w:pPr>
        <w:spacing w:line="580" w:lineRule="exact"/>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以习近平新时代中国特色社会主义思想为指导，全面贯彻党的十九大和十九届二中、三中全会精神，深入落实“三大定位”新使命和“五个扎实”新要求，紧紧围绕实施乡村振兴战略，认真落实发展新理念。</w:t>
      </w:r>
    </w:p>
    <w:p>
      <w:pPr>
        <w:spacing w:line="580" w:lineRule="exact"/>
        <w:ind w:firstLine="560"/>
        <w:rPr>
          <w:color w:val="FF0000"/>
        </w:rPr>
      </w:pPr>
      <w:r>
        <w:rPr>
          <w:rFonts w:hint="eastAsia"/>
        </w:rPr>
        <w:t>农业农村农民问题是关系国计民生的根本性问题，必须始终把解决好“三农”问题作为全党工作重中之重。要坚持农业农村优先发展，巩固和完善农村基本经营制度，保持土地承包关系稳定并长久不变，第二轮土地承包到期后再延长三十年。确保国家粮食安全，把中国人的饭碗牢牢端在自己手中。加强农村基层基础工作，培养造就一支懂农业、爱农村、爱农民的“三农”工作队伍。</w:t>
      </w:r>
      <w:r>
        <w:rPr>
          <w:rFonts w:hint="eastAsia"/>
          <w:color w:val="000000"/>
        </w:rPr>
        <w:t>为全面贯彻党的十九大精神，统筹推进乡村振兴战略，立足产业基础和比较优势，坚持市场导向和绿色发展，打造一批特色鲜明、优势聚集、产业融合、市场竞争力强的特色农产品优势区，根据农业部、中农办、财政部等9部委《关于开展特色农产品优势区创建工作的通知》（农市发〔2017〕3号）、《广西壮族自治区农业厅、广西壮族自治区财政厅关于印发广西特色农产品优势区项目创建方案的通知》（桂农业发〔2018〕16号）、《广西特色农产品优势区建设规划（</w:t>
      </w:r>
      <w:r>
        <w:rPr>
          <w:color w:val="000000"/>
        </w:rPr>
        <w:t>2018</w:t>
      </w:r>
      <w:r>
        <w:rPr>
          <w:rFonts w:hint="eastAsia"/>
          <w:color w:val="000000"/>
        </w:rPr>
        <w:t>－</w:t>
      </w:r>
      <w:r>
        <w:rPr>
          <w:color w:val="000000"/>
        </w:rPr>
        <w:t>2022</w:t>
      </w:r>
      <w:r>
        <w:rPr>
          <w:rFonts w:hint="eastAsia"/>
          <w:color w:val="000000"/>
        </w:rPr>
        <w:t>年）》以及《自治区农业农村厅办公室关于印发2019年广西县级特色农产品优势区规划项目实施方案的通知》的有关要求，组织实施广西县级特色农产品优势区规划项目，引导各县以市场的思维、市场的举措建设特色农产品优势区，坚持高端农产品生产和打造高端农产品品牌，指导打造更多特色鲜明、优势聚集、产业融合、市场竞争力强的特色农产品优势区，助推乡村振兴和产业扶贫。</w:t>
      </w:r>
    </w:p>
    <w:p>
      <w:pPr>
        <w:pStyle w:val="4"/>
        <w:spacing w:before="156" w:after="156"/>
        <w:ind w:firstLine="452"/>
      </w:pPr>
      <w:r>
        <w:rPr>
          <w:rFonts w:hint="eastAsia"/>
        </w:rPr>
        <w:t>（二）规划的重要性和必要性</w:t>
      </w:r>
    </w:p>
    <w:p>
      <w:pPr>
        <w:ind w:firstLine="562" w:firstLineChars="0"/>
        <w:rPr>
          <w:b/>
          <w:color w:val="000000"/>
          <w:szCs w:val="28"/>
        </w:rPr>
      </w:pPr>
      <w:r>
        <w:rPr>
          <w:rFonts w:hint="eastAsia"/>
          <w:b/>
          <w:color w:val="000000"/>
          <w:szCs w:val="28"/>
        </w:rPr>
        <w:t>1.建设特优区是提高农业综合生产能力，推进农业供给侧结构性改革的必要手段。</w:t>
      </w:r>
    </w:p>
    <w:p>
      <w:pPr>
        <w:ind w:firstLine="560"/>
        <w:rPr>
          <w:rFonts w:ascii="宋体" w:hAnsi="宋体" w:cs="宋体"/>
          <w:color w:val="000000"/>
          <w:szCs w:val="28"/>
        </w:rPr>
      </w:pPr>
      <w:r>
        <w:rPr>
          <w:rFonts w:hint="eastAsia" w:ascii="宋体" w:hAnsi="宋体" w:cs="宋体"/>
          <w:color w:val="000000"/>
          <w:szCs w:val="28"/>
        </w:rPr>
        <w:t>改革的战略需要深入推进农业供给侧结构性改革，要求不断优化农产品生产结构，着力推进农业提质增效。发展特色农产品，建设特优区，可以充分利用各地资源禀赋和独特的人文历史，发挥比较优势，极大丰富和优化兴安县农业结构，促进差异竞争、错位发展，紧紧围绕市场需求变化，以增加农民收入、保障有效供给为主要目标，以提高农业供给质量为主攻方向，以体制改革和机制创新为根本途径，优化农业产业体系、生产体系、经营体系，提高投入产出率、资源利用率、劳动生产率，引导特色农产品生产形成聚集区，吸引现代农业各项要素不断注入，加快形成科学合理的农业生产力布局，从整体上提高兴安县农业供给体系的质量和效率，满足国民多样化的消费需求。</w:t>
      </w:r>
    </w:p>
    <w:p>
      <w:pPr>
        <w:ind w:firstLine="562"/>
        <w:rPr>
          <w:rFonts w:ascii="宋体" w:hAnsi="宋体" w:cs="宋体"/>
          <w:b/>
          <w:color w:val="000000"/>
          <w:szCs w:val="28"/>
        </w:rPr>
      </w:pPr>
      <w:r>
        <w:rPr>
          <w:rFonts w:hint="eastAsia" w:ascii="宋体" w:hAnsi="宋体" w:cs="宋体"/>
          <w:b/>
          <w:color w:val="000000"/>
          <w:szCs w:val="28"/>
        </w:rPr>
        <w:t>2.建设特优区是提升农业综合效益，增加农民收入和产业扶贫的需要。</w:t>
      </w:r>
    </w:p>
    <w:p>
      <w:pPr>
        <w:ind w:firstLine="560"/>
        <w:rPr>
          <w:rFonts w:ascii="宋体" w:hAnsi="宋体" w:cs="宋体"/>
          <w:color w:val="000000"/>
          <w:szCs w:val="28"/>
        </w:rPr>
      </w:pPr>
      <w:r>
        <w:rPr>
          <w:rFonts w:hint="eastAsia" w:ascii="宋体" w:hAnsi="宋体" w:cs="宋体"/>
          <w:color w:val="000000"/>
          <w:szCs w:val="28"/>
        </w:rPr>
        <w:t>特色农产品优势区建设在加强农业基础设施建设，用现代物质条件装备农业，改善农业生产条件的同时，坚持产业带动，大力发展优质、高效、生态、安全农业，推进农业结构调整，优化农业产业和农产品品质结构，加快现代农业产业体系建设，发展农业产业化经营，提高农业的综合效益。特优区内规划的标准化生产基地，在发展优质葡萄、银杏、甜玉米、柑桔、食用菌方面具有优越的自然条件和良好的产业基础。通过建设特优区，发展适度规模生产和全产业链经营，进一步提高农业基础装备水平，能够大力促进特色产业的发展壮大和升级提效，有效扩大农村就业，拓宽农民增收渠道，让农民合理分享二三产业收益，使园区内的农民纯收入得到稳步提高。</w:t>
      </w:r>
    </w:p>
    <w:p>
      <w:pPr>
        <w:ind w:firstLine="562"/>
        <w:rPr>
          <w:rFonts w:ascii="宋体" w:hAnsi="宋体" w:cs="宋体"/>
          <w:b/>
          <w:bCs/>
          <w:color w:val="000000"/>
          <w:szCs w:val="28"/>
        </w:rPr>
      </w:pPr>
      <w:r>
        <w:rPr>
          <w:rFonts w:hint="eastAsia" w:ascii="宋体" w:hAnsi="宋体" w:cs="宋体"/>
          <w:b/>
          <w:bCs/>
          <w:color w:val="000000"/>
          <w:szCs w:val="28"/>
        </w:rPr>
        <w:t>3.建设特优区是转变农业发展方式，促进农业绿色可持续发展的需要。</w:t>
      </w:r>
    </w:p>
    <w:p>
      <w:pPr>
        <w:spacing w:line="360" w:lineRule="auto"/>
        <w:ind w:firstLine="560"/>
        <w:rPr>
          <w:rFonts w:ascii="宋体" w:hAnsi="宋体" w:cs="宋体"/>
          <w:bCs/>
          <w:color w:val="000000"/>
          <w:szCs w:val="28"/>
        </w:rPr>
      </w:pPr>
      <w:r>
        <w:rPr>
          <w:rFonts w:hint="eastAsia" w:ascii="宋体" w:hAnsi="宋体" w:cs="宋体"/>
          <w:bCs/>
          <w:color w:val="000000"/>
          <w:szCs w:val="28"/>
        </w:rPr>
        <w:t>推进农业绿色可持续发展，是贯彻农业新发展理念、加快农业现代化发展的重大举措。通过建设特优区，大力推广应用农业节水、节肥、节能等新技术、新成果，引导群众改变传统的耕作栽培方式，实行标准化生产，发展无公害农业、有机农业、循环农业，减少污染，保护环境，同时，引导推进土地规模经营，有序开发优质特色资源，发展农业优势特色产业，促进农业区域化布局、专业化生产和产业化经营，增加绿色优质农产品和生态产品的供给，有利于打造资源利用更加节约高效、产地环境更加清洁、绿色供给能力更加突出的特色农产品生产基地，促进特色产业实现绿色发展。</w:t>
      </w:r>
    </w:p>
    <w:p>
      <w:pPr>
        <w:ind w:firstLine="562"/>
        <w:rPr>
          <w:rFonts w:ascii="宋体" w:hAnsi="宋体" w:cs="宋体"/>
          <w:b/>
          <w:bCs/>
          <w:color w:val="000000"/>
          <w:szCs w:val="28"/>
        </w:rPr>
      </w:pPr>
      <w:r>
        <w:rPr>
          <w:rFonts w:hint="eastAsia" w:ascii="宋体" w:hAnsi="宋体" w:cs="宋体"/>
          <w:b/>
          <w:bCs/>
          <w:color w:val="000000"/>
          <w:szCs w:val="28"/>
        </w:rPr>
        <w:t>4.建设特优区有利于顺应市场需求，推动农业供给侧结构性改革。</w:t>
      </w:r>
    </w:p>
    <w:p>
      <w:pPr>
        <w:ind w:firstLine="560"/>
      </w:pPr>
      <w:r>
        <w:rPr>
          <w:rFonts w:hint="eastAsia"/>
        </w:rPr>
        <w:t>农产品质量安全事关每个人的身体健康和家庭幸福，是</w:t>
      </w:r>
      <w:r>
        <w:t>农业现代化发展的必然趋势。</w:t>
      </w:r>
      <w:r>
        <w:rPr>
          <w:rFonts w:hint="eastAsia"/>
        </w:rPr>
        <w:t>增加绿色优质农产品供给，提升农产品质量安全水平需要完善标准体系，促进绿色产品供给；强化认证管理，培育绿色优质品牌；健全支撑体系，加强农产品质量安全监管。特优区建设紧紧围绕农产品标准化生产、绿色食品认证、打造优势品牌、强化农产品质量安全监管进行，有利于顺应人们对绿色特色农产品的需求，推动农业供给侧结构性改革。</w:t>
      </w:r>
    </w:p>
    <w:p>
      <w:pPr>
        <w:pStyle w:val="4"/>
        <w:spacing w:before="156" w:after="156"/>
        <w:ind w:firstLine="452"/>
      </w:pPr>
      <w:r>
        <w:rPr>
          <w:rFonts w:hint="eastAsia"/>
        </w:rPr>
        <w:t>（三）规划上位分析</w:t>
      </w:r>
    </w:p>
    <w:p>
      <w:pPr>
        <w:ind w:firstLine="562"/>
      </w:pPr>
      <w:r>
        <w:rPr>
          <w:rFonts w:hint="eastAsia"/>
          <w:b/>
        </w:rPr>
        <w:t>《全国农业现代化规划（2016—2020年）》指出：</w:t>
      </w:r>
      <w:r>
        <w:rPr>
          <w:rFonts w:hint="eastAsia"/>
        </w:rPr>
        <w:t>“十二五”以来，党中央、国务院不断加大强农惠农富农政策力度，带领广大农民群众凝心聚力、奋发进取，农业现代化建设取得了巨大成绩。“十三五”时期，在资源环境约束趋紧的背景下，农业发展方式粗放的问题日益凸显。该规划提出，应着力推进农业转型升级，壮大特色农林产品生产；着力促进农业均衡发展，促进区域农业统筹发展；着力提升农业可持续发展水平，强化农业环境保护；着力扩大农业对外合作，促进农产品贸易健康发展；着力增进民生福祉，推进产业精准脱贫。目标到2020年，全国农业现代化取得明显进展，农产品供给体系质量和效率显著提高，农民生活达到全面小康水平。</w:t>
      </w:r>
    </w:p>
    <w:p>
      <w:pPr>
        <w:spacing w:line="580" w:lineRule="exact"/>
        <w:ind w:firstLine="562"/>
      </w:pPr>
      <w:r>
        <w:rPr>
          <w:rFonts w:hint="eastAsia"/>
          <w:b/>
        </w:rPr>
        <w:t>《特色农产品优势区建设规划纲要》中指出：</w:t>
      </w:r>
      <w:r>
        <w:rPr>
          <w:rFonts w:hint="eastAsia"/>
        </w:rPr>
        <w:t>新世纪以来，各地抓住农业结构调整的机通，立足当地特色和资源优势，大力发展特色农业，取得了一定成效。但从总体上看，我国特色农业产业发展水平不高，市场竞争力不强，生产布局有待进一步优化，全国上规模、成体系的特色产业聚集区不多，难以满足日益增长的消费需求，对农民增收和区域经济发展的带动作用尚未充分发挥出来。要做大做强优势特色产业，把地方土特产和小品种做成带动农民增收的大产业。制定特色农产品优势区建设规划，建立评价标准和技术支撑体系，鼓励各地争创园艺产品、畜产品、水产品、林特产品等特色农产品优势区。推进特色农业产业做大做强，提升特色农业产业发展绿色化、产业化、品牌化水平，增加农产品供给的多样性和有效性，实现农业提质增效和农民增收，增强农业的国际竞争力。</w:t>
      </w:r>
    </w:p>
    <w:p>
      <w:pPr>
        <w:spacing w:line="580" w:lineRule="exact"/>
        <w:ind w:firstLine="562"/>
      </w:pPr>
      <w:r>
        <w:rPr>
          <w:rFonts w:hint="eastAsia"/>
          <w:b/>
        </w:rPr>
        <w:t>《广西壮族自治区现代农业（种植业）发展“十三五”规划》指出：</w:t>
      </w:r>
      <w:r>
        <w:rPr>
          <w:rFonts w:hint="eastAsia"/>
        </w:rPr>
        <w:t>“十二五”时期，广西农业坚持稳中求进工作总基调，突出“转方式、调结构、促改革、助增收”，大力发展现代特色农业，加快社会主义新农村建设，取得了显著成效。经济发展进入新常态，满足社会对主要农产品多元化需求压力越来越大。该规划提出，应全面提升现代特色农业产业，强化优势产区，壮大特色产业；培育现代农业创新发展动力，打造现代农业示范平台；提高现代农业协调发展水平，培育带动区域农业协调发展龙头；提升现代农业绿色发展质量，提高农产品的质量安全水平；增强现代农业开放合作能力，大力发展农产品的进出口贸易；促进农民共享农业发展成果，大力推进特色产业扶贫。</w:t>
      </w:r>
    </w:p>
    <w:p>
      <w:pPr>
        <w:spacing w:line="580" w:lineRule="exact"/>
        <w:ind w:firstLine="560"/>
        <w:rPr>
          <w:rFonts w:ascii="宋体" w:hAnsi="宋体" w:cs="宋体"/>
          <w:bCs/>
          <w:color w:val="000000"/>
          <w:szCs w:val="28"/>
        </w:rPr>
      </w:pPr>
    </w:p>
    <w:p>
      <w:pPr>
        <w:ind w:firstLine="562"/>
        <w:rPr>
          <w:rFonts w:ascii="宋体" w:hAnsi="宋体" w:cs="宋体"/>
          <w:bCs/>
          <w:color w:val="000000"/>
          <w:szCs w:val="28"/>
        </w:rPr>
      </w:pPr>
      <w:r>
        <w:rPr>
          <w:rFonts w:hint="eastAsia" w:asciiTheme="minorEastAsia" w:hAnsiTheme="minorEastAsia" w:eastAsiaTheme="minorEastAsia"/>
          <w:b/>
          <w:szCs w:val="22"/>
        </w:rPr>
        <w:t>《广西特色农产品优势建设规划（</w:t>
      </w:r>
      <w:r>
        <w:rPr>
          <w:rFonts w:asciiTheme="minorEastAsia" w:hAnsiTheme="minorEastAsia" w:eastAsiaTheme="minorEastAsia"/>
          <w:b/>
          <w:szCs w:val="22"/>
        </w:rPr>
        <w:t>2018-2022</w:t>
      </w:r>
      <w:r>
        <w:rPr>
          <w:rFonts w:hint="eastAsia" w:asciiTheme="minorEastAsia" w:hAnsiTheme="minorEastAsia" w:eastAsiaTheme="minorEastAsia"/>
          <w:b/>
          <w:szCs w:val="22"/>
        </w:rPr>
        <w:t>年）》指出：</w:t>
      </w:r>
      <w:r>
        <w:rPr>
          <w:rFonts w:hint="eastAsia" w:ascii="宋体" w:hAnsi="宋体" w:cs="宋体"/>
          <w:bCs/>
          <w:color w:val="000000"/>
          <w:szCs w:val="28"/>
        </w:rPr>
        <w:t>创建特优区是一项系统工程，要在完善标准体系、强化技术支撑、改善基础设施、加强品牌建设、培育经营主体、强化利益联结等方面统筹推进，按照填平补齐的原则，重点建设和完善“三个基地”“三个体系”和“一个机制”构建产业链条相对完整、市场主体利益共享、抗市场风险能力强的特色农产品优势区。其中“三个基地”包括绿色食品标准化基地、加工基地、仓储物流基地；“三个体系”包括科技支撑体系、品牌建设与市场营销体系、质量控制体系；“一个机制”代表建设和运行机制。创建并认定自治区级特优区，区内形成以特色农产品生产、加工、流通、销售产业链为基础，集科技创新、休闲观光、配套农资生产和制造融合发展为一体的特色农业产业集群，打造一批“广西第一、全国有名”的特色农产品优势区，以此为核心引领带动整个特色优势产业做大做强，逐步打造全国闻名的特色农业产业带。</w:t>
      </w:r>
    </w:p>
    <w:p>
      <w:pPr>
        <w:ind w:firstLine="560"/>
        <w:rPr>
          <w:rFonts w:ascii="宋体" w:hAnsi="宋体" w:cs="宋体"/>
          <w:bCs/>
          <w:color w:val="000000"/>
          <w:szCs w:val="28"/>
        </w:rPr>
      </w:pPr>
    </w:p>
    <w:p>
      <w:pPr>
        <w:pStyle w:val="3"/>
        <w:ind w:firstLine="643"/>
      </w:pPr>
      <w:bookmarkStart w:id="7" w:name="_Toc21594824"/>
      <w:bookmarkStart w:id="8" w:name="_Toc529131786"/>
      <w:bookmarkStart w:id="9" w:name="_Toc18417380"/>
      <w:r>
        <w:rPr>
          <w:rFonts w:hint="eastAsia"/>
        </w:rPr>
        <w:t>二、规划范围</w:t>
      </w:r>
      <w:bookmarkEnd w:id="7"/>
      <w:bookmarkEnd w:id="8"/>
      <w:bookmarkEnd w:id="9"/>
    </w:p>
    <w:p>
      <w:pPr>
        <w:ind w:firstLine="560"/>
        <w:rPr>
          <w:rFonts w:ascii="宋体" w:hAnsi="宋体" w:cs="宋体"/>
          <w:bCs/>
          <w:color w:val="000000"/>
          <w:szCs w:val="28"/>
        </w:rPr>
      </w:pPr>
      <w:r>
        <w:rPr>
          <w:rFonts w:hint="eastAsia" w:ascii="宋体" w:hAnsi="宋体" w:cs="宋体"/>
          <w:bCs/>
          <w:color w:val="000000"/>
          <w:szCs w:val="28"/>
        </w:rPr>
        <w:t>本规划的范围为整个兴安县全域，涉及兴安县兴安镇、湘漓镇、严关镇、溶江镇、界首镇、高尚镇、崔家乡、白石乡、漠川乡、华江瑶族乡共</w:t>
      </w:r>
      <w:r>
        <w:rPr>
          <w:rFonts w:ascii="宋体" w:hAnsi="宋体" w:cs="宋体"/>
          <w:bCs/>
          <w:color w:val="000000"/>
          <w:szCs w:val="28"/>
        </w:rPr>
        <w:t>10</w:t>
      </w:r>
      <w:r>
        <w:rPr>
          <w:rFonts w:hint="eastAsia" w:ascii="宋体" w:hAnsi="宋体" w:cs="宋体"/>
          <w:bCs/>
          <w:color w:val="000000"/>
          <w:szCs w:val="28"/>
        </w:rPr>
        <w:t>个乡镇，涵盖国土土地面积</w:t>
      </w:r>
      <w:r>
        <w:rPr>
          <w:rFonts w:ascii="宋体" w:hAnsi="宋体" w:cs="宋体"/>
          <w:bCs/>
          <w:color w:val="000000"/>
          <w:szCs w:val="28"/>
        </w:rPr>
        <w:t>2348</w:t>
      </w:r>
      <w:r>
        <w:rPr>
          <w:rFonts w:hint="eastAsia" w:ascii="宋体" w:hAnsi="宋体" w:cs="宋体"/>
          <w:bCs/>
          <w:color w:val="000000"/>
          <w:szCs w:val="28"/>
        </w:rPr>
        <w:t>平方公里。</w:t>
      </w:r>
    </w:p>
    <w:p>
      <w:pPr>
        <w:ind w:firstLine="560"/>
        <w:rPr>
          <w:rFonts w:ascii="宋体" w:hAnsi="宋体" w:cs="宋体"/>
          <w:bCs/>
          <w:color w:val="00B050"/>
          <w:szCs w:val="28"/>
        </w:rPr>
      </w:pPr>
      <w:r>
        <w:rPr>
          <w:rFonts w:ascii="宋体" w:hAnsi="宋体" w:cs="宋体"/>
          <w:bCs/>
          <w:color w:val="00B050"/>
          <w:szCs w:val="28"/>
        </w:rPr>
        <w:drawing>
          <wp:inline distT="0" distB="0" distL="0" distR="0">
            <wp:extent cx="5845810" cy="4471035"/>
            <wp:effectExtent l="0" t="0" r="2540" b="5715"/>
            <wp:docPr id="1" name="图片 1" descr="02-兴安县行政区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2-兴安县行政区划"/>
                    <pic:cNvPicPr>
                      <a:picLocks noChangeAspect="1" noChangeArrowheads="1"/>
                    </pic:cNvPicPr>
                  </pic:nvPicPr>
                  <pic:blipFill>
                    <a:blip r:embed="rId21" cstate="print">
                      <a:extLst>
                        <a:ext uri="{28A0092B-C50C-407E-A947-70E740481C1C}">
                          <a14:useLocalDpi xmlns:a14="http://schemas.microsoft.com/office/drawing/2010/main" val="0"/>
                        </a:ext>
                      </a:extLst>
                    </a:blip>
                    <a:srcRect l="6367" t="2577" r="6021" b="2837"/>
                    <a:stretch>
                      <a:fillRect/>
                    </a:stretch>
                  </pic:blipFill>
                  <pic:spPr>
                    <a:xfrm>
                      <a:off x="0" y="0"/>
                      <a:ext cx="5876679" cy="4494665"/>
                    </a:xfrm>
                    <a:prstGeom prst="rect">
                      <a:avLst/>
                    </a:prstGeom>
                    <a:noFill/>
                    <a:ln>
                      <a:noFill/>
                    </a:ln>
                  </pic:spPr>
                </pic:pic>
              </a:graphicData>
            </a:graphic>
          </wp:inline>
        </w:drawing>
      </w:r>
    </w:p>
    <w:p>
      <w:pPr>
        <w:ind w:firstLine="280" w:firstLineChars="100"/>
        <w:jc w:val="center"/>
        <w:rPr>
          <w:rFonts w:ascii="宋体" w:hAnsi="宋体" w:cs="宋体"/>
          <w:bCs/>
          <w:szCs w:val="28"/>
        </w:rPr>
      </w:pPr>
      <w:r>
        <w:rPr>
          <w:rFonts w:hint="eastAsia" w:ascii="宋体" w:hAnsi="宋体" w:cs="宋体"/>
          <w:bCs/>
          <w:szCs w:val="28"/>
        </w:rPr>
        <w:t>图1</w:t>
      </w:r>
      <w:r>
        <w:rPr>
          <w:rFonts w:ascii="宋体" w:hAnsi="宋体" w:cs="宋体"/>
          <w:bCs/>
          <w:szCs w:val="28"/>
        </w:rPr>
        <w:t xml:space="preserve">-1 </w:t>
      </w:r>
      <w:r>
        <w:rPr>
          <w:rFonts w:hint="eastAsia" w:ascii="宋体" w:hAnsi="宋体" w:cs="宋体"/>
          <w:bCs/>
          <w:szCs w:val="28"/>
        </w:rPr>
        <w:t>规划</w:t>
      </w:r>
      <w:r>
        <w:rPr>
          <w:rFonts w:ascii="宋体" w:hAnsi="宋体" w:cs="宋体"/>
          <w:bCs/>
          <w:szCs w:val="28"/>
        </w:rPr>
        <w:t>范围图</w:t>
      </w:r>
    </w:p>
    <w:p>
      <w:pPr>
        <w:ind w:firstLine="280" w:firstLineChars="100"/>
        <w:jc w:val="center"/>
        <w:rPr>
          <w:rFonts w:ascii="宋体" w:hAnsi="宋体" w:cs="宋体"/>
          <w:bCs/>
          <w:szCs w:val="28"/>
        </w:rPr>
      </w:pPr>
    </w:p>
    <w:p>
      <w:pPr>
        <w:pStyle w:val="3"/>
        <w:ind w:firstLine="643"/>
      </w:pPr>
      <w:bookmarkStart w:id="10" w:name="_Toc529131787"/>
      <w:bookmarkStart w:id="11" w:name="_Toc18417381"/>
      <w:bookmarkStart w:id="12" w:name="_Toc21594825"/>
      <w:r>
        <w:rPr>
          <w:rFonts w:hint="eastAsia"/>
        </w:rPr>
        <w:t>三、规划期限</w:t>
      </w:r>
      <w:bookmarkEnd w:id="10"/>
      <w:bookmarkEnd w:id="11"/>
      <w:bookmarkEnd w:id="12"/>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本规划期限为:201</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 xml:space="preserve"> -202</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年，共4年。</w:t>
      </w:r>
    </w:p>
    <w:p>
      <w:pPr>
        <w:pStyle w:val="3"/>
        <w:ind w:firstLine="643"/>
      </w:pPr>
      <w:bookmarkStart w:id="13" w:name="_Toc18417382"/>
      <w:bookmarkStart w:id="14" w:name="_Toc529131788"/>
      <w:bookmarkStart w:id="15" w:name="_Toc21594826"/>
      <w:r>
        <w:rPr>
          <w:rFonts w:hint="eastAsia"/>
        </w:rPr>
        <w:t>四、规划性质</w:t>
      </w:r>
      <w:bookmarkEnd w:id="13"/>
      <w:bookmarkEnd w:id="14"/>
      <w:bookmarkEnd w:id="15"/>
    </w:p>
    <w:p>
      <w:pPr>
        <w:ind w:firstLine="560"/>
      </w:pPr>
      <w:r>
        <w:rPr>
          <w:rFonts w:hint="eastAsia"/>
        </w:rPr>
        <w:t>本规划为县域特色农产品优势区建设规划，是兴安县广西特色农产品优势区开发与发展的近期战略发展规划，是兴安县</w:t>
      </w:r>
      <w:r>
        <w:rPr>
          <w:rFonts w:hint="eastAsia" w:ascii="仿宋" w:hAnsi="仿宋"/>
        </w:rPr>
        <w:t>区域</w:t>
      </w:r>
      <w:r>
        <w:rPr>
          <w:rFonts w:ascii="仿宋" w:hAnsi="仿宋"/>
        </w:rPr>
        <w:t>特色农产品优势区建设的</w:t>
      </w:r>
      <w:r>
        <w:rPr>
          <w:rFonts w:hint="eastAsia" w:ascii="仿宋" w:hAnsi="仿宋"/>
        </w:rPr>
        <w:t>总体</w:t>
      </w:r>
      <w:r>
        <w:rPr>
          <w:rFonts w:ascii="仿宋" w:hAnsi="仿宋"/>
        </w:rPr>
        <w:t>指导文件</w:t>
      </w:r>
      <w:r>
        <w:rPr>
          <w:rFonts w:hint="eastAsia"/>
        </w:rPr>
        <w:t>，</w:t>
      </w:r>
      <w:r>
        <w:rPr>
          <w:rFonts w:hint="eastAsia" w:ascii="仿宋" w:hAnsi="仿宋"/>
        </w:rPr>
        <w:t>对兴安县具备</w:t>
      </w:r>
      <w:r>
        <w:rPr>
          <w:rFonts w:ascii="仿宋" w:hAnsi="仿宋"/>
        </w:rPr>
        <w:t>打造特色农产品优势区的</w:t>
      </w:r>
      <w:r>
        <w:rPr>
          <w:rFonts w:hint="eastAsia" w:ascii="仿宋" w:hAnsi="仿宋"/>
        </w:rPr>
        <w:t>重点产业资源作出</w:t>
      </w:r>
      <w:r>
        <w:rPr>
          <w:rFonts w:ascii="仿宋" w:hAnsi="仿宋"/>
        </w:rPr>
        <w:t>了阶段性的规划，并提出了建设的目标</w:t>
      </w:r>
      <w:r>
        <w:rPr>
          <w:rFonts w:hint="eastAsia" w:ascii="仿宋" w:hAnsi="仿宋"/>
        </w:rPr>
        <w:t>，是</w:t>
      </w:r>
      <w:r>
        <w:rPr>
          <w:rFonts w:ascii="仿宋" w:hAnsi="仿宋"/>
        </w:rPr>
        <w:t>指导编制</w:t>
      </w:r>
      <w:r>
        <w:rPr>
          <w:rFonts w:hint="eastAsia" w:ascii="仿宋" w:hAnsi="仿宋"/>
        </w:rPr>
        <w:t>兴安县单一特色</w:t>
      </w:r>
      <w:r>
        <w:rPr>
          <w:rFonts w:ascii="仿宋" w:hAnsi="仿宋"/>
        </w:rPr>
        <w:t>产业优势区</w:t>
      </w:r>
      <w:r>
        <w:rPr>
          <w:rFonts w:hint="eastAsia" w:ascii="仿宋" w:hAnsi="仿宋"/>
        </w:rPr>
        <w:t>规划</w:t>
      </w:r>
      <w:r>
        <w:rPr>
          <w:rFonts w:ascii="仿宋" w:hAnsi="仿宋"/>
        </w:rPr>
        <w:t>的重要依据</w:t>
      </w:r>
      <w:r>
        <w:rPr>
          <w:rFonts w:hint="eastAsia"/>
        </w:rPr>
        <w:t>。</w:t>
      </w:r>
    </w:p>
    <w:p>
      <w:pPr>
        <w:pStyle w:val="3"/>
        <w:ind w:firstLine="643"/>
      </w:pPr>
      <w:bookmarkStart w:id="16" w:name="_Toc18417383"/>
      <w:bookmarkStart w:id="17" w:name="_Toc21594827"/>
      <w:bookmarkStart w:id="18" w:name="_Toc529131789"/>
      <w:r>
        <w:rPr>
          <w:rFonts w:hint="eastAsia"/>
        </w:rPr>
        <w:t>五、规划依据</w:t>
      </w:r>
      <w:bookmarkEnd w:id="16"/>
      <w:bookmarkEnd w:id="17"/>
      <w:bookmarkEnd w:id="18"/>
    </w:p>
    <w:p>
      <w:pPr>
        <w:pStyle w:val="4"/>
        <w:spacing w:before="156" w:after="156"/>
        <w:ind w:firstLine="452"/>
      </w:pPr>
      <w:r>
        <w:rPr>
          <w:rFonts w:hint="eastAsia"/>
        </w:rPr>
        <w:t>（一）现行有关法律法规</w:t>
      </w:r>
    </w:p>
    <w:p>
      <w:pPr>
        <w:ind w:firstLine="560"/>
        <w:rPr>
          <w:rFonts w:asciiTheme="minorEastAsia" w:hAnsiTheme="minorEastAsia" w:eastAsiaTheme="minorEastAsia" w:cstheme="minorEastAsia"/>
        </w:rPr>
      </w:pPr>
      <w:r>
        <w:rPr>
          <w:rFonts w:hint="eastAsia" w:asciiTheme="minorEastAsia" w:hAnsiTheme="minorEastAsia" w:eastAsiaTheme="minorEastAsia" w:cstheme="minorEastAsia"/>
        </w:rPr>
        <w:t>1.《中华人民共和国城乡规划法》；</w:t>
      </w:r>
    </w:p>
    <w:p>
      <w:pPr>
        <w:ind w:firstLine="560"/>
        <w:rPr>
          <w:rFonts w:asciiTheme="minorEastAsia" w:hAnsiTheme="minorEastAsia" w:eastAsiaTheme="minorEastAsia" w:cstheme="minorEastAsia"/>
        </w:rPr>
      </w:pPr>
      <w:r>
        <w:rPr>
          <w:rFonts w:hint="eastAsia" w:asciiTheme="minorEastAsia" w:hAnsiTheme="minorEastAsia" w:eastAsiaTheme="minorEastAsia" w:cstheme="minorEastAsia"/>
        </w:rPr>
        <w:t>2.《中华人民共和国水土保持法》；</w:t>
      </w:r>
    </w:p>
    <w:p>
      <w:pPr>
        <w:ind w:firstLine="560"/>
        <w:rPr>
          <w:rFonts w:asciiTheme="minorEastAsia" w:hAnsiTheme="minorEastAsia" w:eastAsiaTheme="minorEastAsia" w:cstheme="minorEastAsia"/>
        </w:rPr>
      </w:pPr>
      <w:r>
        <w:rPr>
          <w:rFonts w:hint="eastAsia" w:asciiTheme="minorEastAsia" w:hAnsiTheme="minorEastAsia" w:eastAsiaTheme="minorEastAsia" w:cstheme="minorEastAsia"/>
        </w:rPr>
        <w:t>3.《中华人民共和国土地管理法》（修正）（2004年8月）；</w:t>
      </w:r>
    </w:p>
    <w:p>
      <w:pPr>
        <w:ind w:firstLine="560"/>
        <w:rPr>
          <w:rFonts w:asciiTheme="minorEastAsia" w:hAnsiTheme="minorEastAsia" w:eastAsiaTheme="minorEastAsia" w:cstheme="minorEastAsia"/>
        </w:rPr>
      </w:pPr>
      <w:r>
        <w:rPr>
          <w:rFonts w:hint="eastAsia" w:asciiTheme="minorEastAsia" w:hAnsiTheme="minorEastAsia" w:eastAsiaTheme="minorEastAsia" w:cstheme="minorEastAsia"/>
        </w:rPr>
        <w:t>4.《中华人民共和国农业法》（2003年修订）；</w:t>
      </w:r>
    </w:p>
    <w:p>
      <w:pPr>
        <w:ind w:firstLine="560"/>
        <w:rPr>
          <w:rFonts w:asciiTheme="minorEastAsia" w:hAnsiTheme="minorEastAsia" w:eastAsiaTheme="minorEastAsia" w:cstheme="minorEastAsia"/>
        </w:rPr>
      </w:pPr>
      <w:r>
        <w:rPr>
          <w:rFonts w:hint="eastAsia" w:asciiTheme="minorEastAsia" w:hAnsiTheme="minorEastAsia" w:eastAsiaTheme="minorEastAsia" w:cstheme="minorEastAsia"/>
        </w:rPr>
        <w:t>5.《中华人民共和国农村土地承包法》（2003）；</w:t>
      </w:r>
    </w:p>
    <w:p>
      <w:pPr>
        <w:ind w:firstLine="560"/>
        <w:rPr>
          <w:rFonts w:asciiTheme="minorEastAsia" w:hAnsiTheme="minorEastAsia" w:eastAsiaTheme="minorEastAsia" w:cstheme="minorEastAsia"/>
        </w:rPr>
      </w:pPr>
      <w:r>
        <w:rPr>
          <w:rFonts w:hint="eastAsia" w:asciiTheme="minorEastAsia" w:hAnsiTheme="minorEastAsia" w:eastAsiaTheme="minorEastAsia" w:cstheme="minorEastAsia"/>
        </w:rPr>
        <w:t>6.《中华人民共和国森林法》（修正）（1998年4月）；</w:t>
      </w:r>
    </w:p>
    <w:p>
      <w:pPr>
        <w:ind w:firstLine="560"/>
        <w:rPr>
          <w:rFonts w:asciiTheme="minorEastAsia" w:hAnsiTheme="minorEastAsia" w:eastAsiaTheme="minorEastAsia" w:cstheme="minorEastAsia"/>
        </w:rPr>
      </w:pPr>
      <w:r>
        <w:rPr>
          <w:rFonts w:hint="eastAsia" w:asciiTheme="minorEastAsia" w:hAnsiTheme="minorEastAsia" w:eastAsiaTheme="minorEastAsia" w:cstheme="minorEastAsia"/>
        </w:rPr>
        <w:t>7.《中华人民共和国环境保护法》（2014年修订）；</w:t>
      </w:r>
    </w:p>
    <w:p>
      <w:pPr>
        <w:ind w:firstLine="560"/>
        <w:rPr>
          <w:rFonts w:asciiTheme="minorEastAsia" w:hAnsiTheme="minorEastAsia" w:eastAsiaTheme="minorEastAsia" w:cstheme="minorEastAsia"/>
        </w:rPr>
      </w:pPr>
      <w:r>
        <w:rPr>
          <w:rFonts w:hint="eastAsia" w:asciiTheme="minorEastAsia" w:hAnsiTheme="minorEastAsia" w:eastAsiaTheme="minorEastAsia" w:cstheme="minorEastAsia"/>
        </w:rPr>
        <w:t>8.《中华人民共和国环境影响评价法》（2002年）；</w:t>
      </w:r>
    </w:p>
    <w:p>
      <w:pPr>
        <w:ind w:firstLine="560"/>
        <w:rPr>
          <w:rFonts w:asciiTheme="minorEastAsia" w:hAnsiTheme="minorEastAsia" w:eastAsiaTheme="minorEastAsia" w:cstheme="minorEastAsia"/>
        </w:rPr>
      </w:pPr>
      <w:r>
        <w:rPr>
          <w:rFonts w:hint="eastAsia" w:asciiTheme="minorEastAsia" w:hAnsiTheme="minorEastAsia" w:eastAsiaTheme="minorEastAsia" w:cstheme="minorEastAsia"/>
        </w:rPr>
        <w:t>9.《中华人民共和国公路法》（2004年）；</w:t>
      </w:r>
    </w:p>
    <w:p>
      <w:pPr>
        <w:ind w:firstLine="560"/>
        <w:rPr>
          <w:rFonts w:asciiTheme="minorEastAsia" w:hAnsiTheme="minorEastAsia" w:eastAsiaTheme="minorEastAsia" w:cstheme="minorEastAsia"/>
        </w:rPr>
      </w:pPr>
      <w:r>
        <w:rPr>
          <w:rFonts w:hint="eastAsia" w:asciiTheme="minorEastAsia" w:hAnsiTheme="minorEastAsia" w:eastAsiaTheme="minorEastAsia" w:cstheme="minorEastAsia"/>
        </w:rPr>
        <w:t>10.《中华人民共和国水法》；</w:t>
      </w:r>
    </w:p>
    <w:p>
      <w:pPr>
        <w:ind w:firstLine="560"/>
        <w:rPr>
          <w:rFonts w:asciiTheme="minorEastAsia" w:hAnsiTheme="minorEastAsia" w:eastAsiaTheme="minorEastAsia" w:cstheme="minorEastAsia"/>
        </w:rPr>
      </w:pPr>
      <w:r>
        <w:rPr>
          <w:rFonts w:hint="eastAsia" w:asciiTheme="minorEastAsia" w:hAnsiTheme="minorEastAsia" w:eastAsiaTheme="minorEastAsia" w:cstheme="minorEastAsia"/>
        </w:rPr>
        <w:t>11.《中华人民共和国食品安全法》；</w:t>
      </w:r>
    </w:p>
    <w:p>
      <w:pPr>
        <w:ind w:firstLine="560"/>
        <w:rPr>
          <w:rFonts w:asciiTheme="minorEastAsia" w:hAnsiTheme="minorEastAsia" w:eastAsiaTheme="minorEastAsia" w:cstheme="minorEastAsia"/>
        </w:rPr>
      </w:pPr>
      <w:r>
        <w:rPr>
          <w:rFonts w:hint="eastAsia" w:asciiTheme="minorEastAsia" w:hAnsiTheme="minorEastAsia" w:eastAsiaTheme="minorEastAsia" w:cstheme="minorEastAsia"/>
        </w:rPr>
        <w:t>12.《中华人民共和国农产品质量安全法》；</w:t>
      </w:r>
    </w:p>
    <w:p>
      <w:pPr>
        <w:ind w:firstLine="560"/>
        <w:rPr>
          <w:rFonts w:asciiTheme="minorEastAsia" w:hAnsiTheme="minorEastAsia" w:eastAsiaTheme="minorEastAsia" w:cstheme="minorEastAsia"/>
        </w:rPr>
      </w:pPr>
      <w:r>
        <w:rPr>
          <w:rFonts w:hint="eastAsia" w:asciiTheme="minorEastAsia" w:hAnsiTheme="minorEastAsia" w:eastAsiaTheme="minorEastAsia" w:cstheme="minorEastAsia"/>
        </w:rPr>
        <w:t>13.《广西清洁乡村条例》；</w:t>
      </w:r>
    </w:p>
    <w:p>
      <w:pPr>
        <w:ind w:firstLine="560"/>
        <w:rPr>
          <w:rFonts w:asciiTheme="minorEastAsia" w:hAnsiTheme="minorEastAsia" w:eastAsiaTheme="minorEastAsia" w:cstheme="minorEastAsia"/>
        </w:rPr>
      </w:pPr>
      <w:r>
        <w:rPr>
          <w:rFonts w:hint="eastAsia" w:asciiTheme="minorEastAsia" w:hAnsiTheme="minorEastAsia" w:eastAsiaTheme="minorEastAsia" w:cstheme="minorEastAsia"/>
        </w:rPr>
        <w:t>14.《基本农田保护条例》；</w:t>
      </w:r>
    </w:p>
    <w:p>
      <w:pPr>
        <w:ind w:firstLine="560"/>
        <w:rPr>
          <w:rFonts w:asciiTheme="minorEastAsia" w:hAnsiTheme="minorEastAsia" w:eastAsiaTheme="minorEastAsia" w:cstheme="minorEastAsia"/>
        </w:rPr>
      </w:pPr>
      <w:r>
        <w:rPr>
          <w:rFonts w:hint="eastAsia" w:asciiTheme="minorEastAsia" w:hAnsiTheme="minorEastAsia" w:eastAsiaTheme="minorEastAsia" w:cstheme="minorEastAsia"/>
        </w:rPr>
        <w:t>15.《旅游规划通则》（2003年）；</w:t>
      </w:r>
    </w:p>
    <w:p>
      <w:pPr>
        <w:ind w:firstLine="560"/>
        <w:rPr>
          <w:rFonts w:asciiTheme="minorEastAsia" w:hAnsiTheme="minorEastAsia" w:eastAsiaTheme="minorEastAsia" w:cstheme="minorEastAsia"/>
        </w:rPr>
      </w:pPr>
      <w:r>
        <w:rPr>
          <w:rFonts w:hint="eastAsia" w:asciiTheme="minorEastAsia" w:hAnsiTheme="minorEastAsia" w:eastAsiaTheme="minorEastAsia" w:cstheme="minorEastAsia"/>
        </w:rPr>
        <w:t>16.《广西壮族自治区旅游条例》（2008年10月1日起施行）。</w:t>
      </w:r>
    </w:p>
    <w:p>
      <w:pPr>
        <w:ind w:firstLine="560"/>
        <w:rPr>
          <w:rFonts w:asciiTheme="minorEastAsia" w:hAnsiTheme="minorEastAsia" w:eastAsiaTheme="minorEastAsia" w:cstheme="minorEastAsia"/>
        </w:rPr>
      </w:pPr>
    </w:p>
    <w:p>
      <w:pPr>
        <w:pStyle w:val="4"/>
        <w:spacing w:before="156" w:after="156"/>
        <w:ind w:firstLine="0" w:firstLineChars="0"/>
        <w:rPr>
          <w:rFonts w:asciiTheme="minorEastAsia" w:hAnsiTheme="minorEastAsia" w:eastAsiaTheme="minorEastAsia" w:cstheme="minorEastAsia"/>
          <w:b w:val="0"/>
          <w:bCs w:val="0"/>
          <w:sz w:val="28"/>
          <w:szCs w:val="24"/>
        </w:rPr>
      </w:pPr>
    </w:p>
    <w:p>
      <w:pPr>
        <w:pStyle w:val="4"/>
        <w:spacing w:before="156" w:after="156"/>
        <w:ind w:firstLine="452"/>
      </w:pPr>
      <w:r>
        <w:rPr>
          <w:rFonts w:hint="eastAsia"/>
        </w:rPr>
        <w:t>（二）现行政策文件</w:t>
      </w:r>
    </w:p>
    <w:p>
      <w:pPr>
        <w:ind w:firstLine="560"/>
        <w:rPr>
          <w:rFonts w:asciiTheme="minorEastAsia" w:hAnsiTheme="minorEastAsia" w:eastAsiaTheme="minorEastAsia" w:cstheme="minorEastAsia"/>
        </w:rPr>
      </w:pPr>
      <w:r>
        <w:rPr>
          <w:rFonts w:hint="eastAsia" w:asciiTheme="minorEastAsia" w:hAnsiTheme="minorEastAsia" w:eastAsiaTheme="minorEastAsia" w:cstheme="minorEastAsia"/>
        </w:rPr>
        <w:t>1.《中共中央国务院关于坚持农业农村优先发展做好“三农”工作的若干意见》（2019年中央一号文件）；</w:t>
      </w:r>
    </w:p>
    <w:p>
      <w:pPr>
        <w:ind w:firstLine="560"/>
        <w:rPr>
          <w:rFonts w:asciiTheme="minorEastAsia" w:hAnsiTheme="minorEastAsia" w:eastAsiaTheme="minorEastAsia" w:cstheme="minorEastAsia"/>
        </w:rPr>
      </w:pPr>
      <w:r>
        <w:rPr>
          <w:rFonts w:hint="eastAsia" w:asciiTheme="minorEastAsia" w:hAnsiTheme="minorEastAsia" w:eastAsiaTheme="minorEastAsia" w:cstheme="minorEastAsia"/>
        </w:rPr>
        <w:t>2.《中共中央国务院关于实施乡村振兴战略的意见》（2018年中央一号文件）；</w:t>
      </w:r>
    </w:p>
    <w:p>
      <w:pPr>
        <w:ind w:firstLine="560"/>
        <w:rPr>
          <w:rFonts w:asciiTheme="minorEastAsia" w:hAnsiTheme="minorEastAsia" w:eastAsiaTheme="minorEastAsia" w:cstheme="minorEastAsia"/>
        </w:rPr>
      </w:pPr>
      <w:r>
        <w:rPr>
          <w:rFonts w:hint="eastAsia" w:asciiTheme="minorEastAsia" w:hAnsiTheme="minorEastAsia" w:eastAsiaTheme="minorEastAsia" w:cstheme="minorEastAsia"/>
        </w:rPr>
        <w:t>3.《关于深入推进农业供给侧结构性改革加快培育农业农村发展新动能的若干意见》（2017中央一号文件）；</w:t>
      </w:r>
    </w:p>
    <w:p>
      <w:pPr>
        <w:ind w:firstLine="560"/>
        <w:rPr>
          <w:rFonts w:asciiTheme="minorEastAsia" w:hAnsiTheme="minorEastAsia" w:eastAsiaTheme="minorEastAsia" w:cstheme="minorEastAsia"/>
        </w:rPr>
      </w:pPr>
      <w:r>
        <w:rPr>
          <w:rFonts w:hint="eastAsia" w:asciiTheme="minorEastAsia" w:hAnsiTheme="minorEastAsia" w:eastAsiaTheme="minorEastAsia" w:cstheme="minorEastAsia"/>
        </w:rPr>
        <w:t>4.《关于落实发展新理念加快农业现代化实现全面小康目标的若干意见》(2016中央一号文件)；</w:t>
      </w:r>
    </w:p>
    <w:p>
      <w:pPr>
        <w:ind w:firstLine="560"/>
        <w:rPr>
          <w:rFonts w:asciiTheme="minorEastAsia" w:hAnsiTheme="minorEastAsia" w:eastAsiaTheme="minorEastAsia" w:cstheme="minorEastAsia"/>
        </w:rPr>
      </w:pPr>
      <w:r>
        <w:rPr>
          <w:rFonts w:asciiTheme="minorEastAsia" w:hAnsiTheme="minorEastAsia" w:eastAsiaTheme="minorEastAsia" w:cstheme="minorEastAsia"/>
        </w:rPr>
        <w:t>5</w:t>
      </w:r>
      <w:r>
        <w:rPr>
          <w:rFonts w:hint="eastAsia" w:asciiTheme="minorEastAsia" w:hAnsiTheme="minorEastAsia" w:eastAsiaTheme="minorEastAsia" w:cstheme="minorEastAsia"/>
        </w:rPr>
        <w:t>.《广西壮族自治区农业厅广西壮族自治区财政厅关于印发广西特色农产品优势区项目创建方案的通知》（桂农业发〔2018〕16号）；</w:t>
      </w:r>
    </w:p>
    <w:p>
      <w:pPr>
        <w:ind w:firstLine="560"/>
        <w:rPr>
          <w:rFonts w:asciiTheme="minorEastAsia" w:hAnsiTheme="minorEastAsia" w:eastAsiaTheme="minorEastAsia" w:cstheme="minorEastAsia"/>
        </w:rPr>
      </w:pPr>
      <w:r>
        <w:rPr>
          <w:rFonts w:asciiTheme="minorEastAsia" w:hAnsiTheme="minorEastAsia" w:eastAsiaTheme="minorEastAsia" w:cstheme="minorEastAsia"/>
        </w:rPr>
        <w:t>6</w:t>
      </w:r>
      <w:r>
        <w:rPr>
          <w:rFonts w:hint="eastAsia" w:asciiTheme="minorEastAsia" w:hAnsiTheme="minorEastAsia" w:eastAsiaTheme="minorEastAsia" w:cstheme="minorEastAsia"/>
        </w:rPr>
        <w:t>.《自治区农业厅关于开展第二批广西特色农产品优势区创建申报工作的通知》（桂农业发〔2018〕79号）；</w:t>
      </w:r>
    </w:p>
    <w:p>
      <w:pPr>
        <w:ind w:firstLine="560"/>
        <w:rPr>
          <w:rFonts w:asciiTheme="minorEastAsia" w:hAnsiTheme="minorEastAsia" w:eastAsiaTheme="minorEastAsia" w:cstheme="minorEastAsia"/>
        </w:rPr>
      </w:pPr>
      <w:r>
        <w:rPr>
          <w:rFonts w:asciiTheme="minorEastAsia" w:hAnsiTheme="minorEastAsia" w:eastAsiaTheme="minorEastAsia" w:cstheme="minorEastAsia"/>
        </w:rPr>
        <w:t>7</w:t>
      </w:r>
      <w:r>
        <w:rPr>
          <w:rFonts w:hint="eastAsia" w:asciiTheme="minorEastAsia" w:hAnsiTheme="minorEastAsia" w:eastAsiaTheme="minorEastAsia" w:cstheme="minorEastAsia"/>
        </w:rPr>
        <w:t>.《关于实施绿色循环优质高效特色农业促进项目的通知》（农财发〔2018〕</w:t>
      </w:r>
      <w:r>
        <w:rPr>
          <w:rFonts w:asciiTheme="minorEastAsia" w:hAnsiTheme="minorEastAsia" w:eastAsiaTheme="minorEastAsia" w:cstheme="minorEastAsia"/>
        </w:rPr>
        <w:t>22号）；</w:t>
      </w:r>
    </w:p>
    <w:p>
      <w:pPr>
        <w:ind w:firstLine="560"/>
        <w:rPr>
          <w:rFonts w:asciiTheme="minorEastAsia" w:hAnsiTheme="minorEastAsia" w:eastAsiaTheme="minorEastAsia" w:cstheme="minorEastAsia"/>
        </w:rPr>
      </w:pPr>
      <w:r>
        <w:rPr>
          <w:rFonts w:asciiTheme="minorEastAsia" w:hAnsiTheme="minorEastAsia" w:eastAsiaTheme="minorEastAsia" w:cstheme="minorEastAsia"/>
        </w:rPr>
        <w:t>8.</w:t>
      </w:r>
      <w:r>
        <w:rPr>
          <w:rFonts w:hint="eastAsia" w:asciiTheme="minorEastAsia" w:hAnsiTheme="minorEastAsia" w:eastAsiaTheme="minorEastAsia" w:cstheme="minorEastAsia"/>
        </w:rPr>
        <w:t>《自治区</w:t>
      </w:r>
      <w:r>
        <w:rPr>
          <w:rFonts w:asciiTheme="minorEastAsia" w:hAnsiTheme="minorEastAsia" w:eastAsiaTheme="minorEastAsia" w:cstheme="minorEastAsia"/>
        </w:rPr>
        <w:t>农业厅办公室关于印发2019年广西县级特色农产业优势区农产品规划项目实施方案通知</w:t>
      </w:r>
      <w:r>
        <w:rPr>
          <w:rFonts w:hint="eastAsia" w:asciiTheme="minorEastAsia" w:hAnsiTheme="minorEastAsia" w:eastAsiaTheme="minorEastAsia" w:cstheme="minorEastAsia"/>
        </w:rPr>
        <w:t>》（桂农业发〔</w:t>
      </w:r>
      <w:r>
        <w:rPr>
          <w:rFonts w:asciiTheme="minorEastAsia" w:hAnsiTheme="minorEastAsia" w:eastAsiaTheme="minorEastAsia" w:cstheme="minorEastAsia"/>
        </w:rPr>
        <w:t>2019</w:t>
      </w:r>
      <w:r>
        <w:rPr>
          <w:rFonts w:hint="eastAsia" w:asciiTheme="minorEastAsia" w:hAnsiTheme="minorEastAsia" w:eastAsiaTheme="minorEastAsia" w:cstheme="minorEastAsia"/>
        </w:rPr>
        <w:t>〕</w:t>
      </w:r>
      <w:r>
        <w:rPr>
          <w:rFonts w:asciiTheme="minorEastAsia" w:hAnsiTheme="minorEastAsia" w:eastAsiaTheme="minorEastAsia" w:cstheme="minorEastAsia"/>
        </w:rPr>
        <w:t>52</w:t>
      </w:r>
      <w:r>
        <w:rPr>
          <w:rFonts w:hint="eastAsia" w:asciiTheme="minorEastAsia" w:hAnsiTheme="minorEastAsia" w:eastAsiaTheme="minorEastAsia" w:cstheme="minorEastAsia"/>
        </w:rPr>
        <w:t>号）；</w:t>
      </w:r>
    </w:p>
    <w:p>
      <w:pPr>
        <w:ind w:firstLine="560"/>
        <w:rPr>
          <w:rFonts w:asciiTheme="minorEastAsia" w:hAnsiTheme="minorEastAsia" w:eastAsiaTheme="minorEastAsia" w:cstheme="minorEastAsia"/>
        </w:rPr>
      </w:pPr>
      <w:r>
        <w:rPr>
          <w:rFonts w:asciiTheme="minorEastAsia" w:hAnsiTheme="minorEastAsia" w:eastAsiaTheme="minorEastAsia" w:cstheme="minorEastAsia"/>
        </w:rPr>
        <w:t>9.</w:t>
      </w:r>
      <w:r>
        <w:rPr>
          <w:rFonts w:hint="eastAsia" w:asciiTheme="minorEastAsia" w:hAnsiTheme="minorEastAsia" w:eastAsiaTheme="minorEastAsia" w:cstheme="minorEastAsia"/>
        </w:rPr>
        <w:t>《自治区农业厅办公室关于开展第二批广西特色农产品优势区验收工作</w:t>
      </w:r>
      <w:r>
        <w:rPr>
          <w:rFonts w:asciiTheme="minorEastAsia" w:hAnsiTheme="minorEastAsia" w:eastAsiaTheme="minorEastAsia" w:cstheme="minorEastAsia"/>
        </w:rPr>
        <w:t>的</w:t>
      </w:r>
      <w:r>
        <w:rPr>
          <w:rFonts w:hint="eastAsia" w:asciiTheme="minorEastAsia" w:hAnsiTheme="minorEastAsia" w:eastAsiaTheme="minorEastAsia" w:cstheme="minorEastAsia"/>
        </w:rPr>
        <w:t>通知》。</w:t>
      </w:r>
    </w:p>
    <w:p>
      <w:pPr>
        <w:ind w:firstLine="560"/>
        <w:rPr>
          <w:rFonts w:asciiTheme="minorEastAsia" w:hAnsiTheme="minorEastAsia" w:eastAsiaTheme="minorEastAsia" w:cstheme="minorEastAsia"/>
          <w:color w:val="0D0D0D" w:themeColor="text1" w:themeTint="F2"/>
          <w14:textFill>
            <w14:solidFill>
              <w14:schemeClr w14:val="tx1">
                <w14:lumMod w14:val="95000"/>
                <w14:lumOff w14:val="5000"/>
              </w14:schemeClr>
            </w14:solidFill>
          </w14:textFill>
        </w:rPr>
      </w:pPr>
    </w:p>
    <w:p>
      <w:pPr>
        <w:pStyle w:val="4"/>
        <w:spacing w:before="156" w:after="156"/>
        <w:ind w:firstLine="452"/>
      </w:pPr>
      <w:r>
        <w:rPr>
          <w:rFonts w:hint="eastAsia"/>
        </w:rPr>
        <w:t>（三）现行有关规划、计划</w:t>
      </w:r>
    </w:p>
    <w:p>
      <w:pPr>
        <w:ind w:firstLine="560"/>
        <w:rPr>
          <w:rFonts w:asciiTheme="minorEastAsia" w:hAnsiTheme="minorEastAsia" w:eastAsiaTheme="minorEastAsia" w:cstheme="minorEastAsia"/>
        </w:rPr>
      </w:pPr>
      <w:r>
        <w:rPr>
          <w:rFonts w:hint="eastAsia" w:asciiTheme="minorEastAsia" w:hAnsiTheme="minorEastAsia" w:eastAsiaTheme="minorEastAsia" w:cstheme="minorEastAsia"/>
        </w:rPr>
        <w:t>1.《全国农业现代化规划（2016—2020年）》（国发〔2016〕58号）；</w:t>
      </w:r>
    </w:p>
    <w:p>
      <w:pPr>
        <w:ind w:firstLine="560"/>
        <w:rPr>
          <w:rFonts w:asciiTheme="minorEastAsia" w:hAnsiTheme="minorEastAsia" w:eastAsiaTheme="minorEastAsia" w:cstheme="minorEastAsia"/>
        </w:rPr>
      </w:pPr>
      <w:r>
        <w:rPr>
          <w:rFonts w:hint="eastAsia" w:asciiTheme="minorEastAsia" w:hAnsiTheme="minorEastAsia" w:eastAsiaTheme="minorEastAsia" w:cstheme="minorEastAsia"/>
        </w:rPr>
        <w:t>2.《特色农产品优势区建设规划纲要》（革委等部门联合印）；</w:t>
      </w:r>
    </w:p>
    <w:p>
      <w:pPr>
        <w:ind w:firstLine="560"/>
        <w:rPr>
          <w:rFonts w:asciiTheme="minorEastAsia" w:hAnsiTheme="minorEastAsia" w:eastAsiaTheme="minorEastAsia" w:cstheme="minorEastAsia"/>
        </w:rPr>
      </w:pPr>
      <w:r>
        <w:rPr>
          <w:rFonts w:hint="eastAsia" w:asciiTheme="minorEastAsia" w:hAnsiTheme="minorEastAsia" w:eastAsiaTheme="minorEastAsia" w:cstheme="minorEastAsia"/>
        </w:rPr>
        <w:t>3.《广西特色农产品优势区建设规划（2018-2022年）》（桂发改农经〔2018〕1499号）；</w:t>
      </w:r>
    </w:p>
    <w:p>
      <w:pPr>
        <w:ind w:firstLine="560"/>
        <w:rPr>
          <w:rFonts w:asciiTheme="minorEastAsia" w:hAnsiTheme="minorEastAsia" w:eastAsiaTheme="minorEastAsia" w:cstheme="minorEastAsia"/>
        </w:rPr>
      </w:pPr>
      <w:r>
        <w:rPr>
          <w:rFonts w:hint="eastAsia" w:asciiTheme="minorEastAsia" w:hAnsiTheme="minorEastAsia" w:eastAsiaTheme="minorEastAsia" w:cstheme="minorEastAsia"/>
        </w:rPr>
        <w:t>4.《广西壮族自治区国民经济和社会发展第十三个五年规划纲要》；</w:t>
      </w:r>
    </w:p>
    <w:p>
      <w:pPr>
        <w:ind w:firstLine="560"/>
        <w:rPr>
          <w:rFonts w:asciiTheme="minorEastAsia" w:hAnsiTheme="minorEastAsia" w:eastAsiaTheme="minorEastAsia" w:cstheme="minorEastAsia"/>
        </w:rPr>
      </w:pPr>
      <w:r>
        <w:rPr>
          <w:rFonts w:hint="eastAsia" w:asciiTheme="minorEastAsia" w:hAnsiTheme="minorEastAsia" w:eastAsiaTheme="minorEastAsia" w:cstheme="minorEastAsia"/>
        </w:rPr>
        <w:t>5.《广西农业和农村经济发展“十三五”规划》；</w:t>
      </w:r>
    </w:p>
    <w:p>
      <w:pPr>
        <w:ind w:firstLine="560"/>
        <w:rPr>
          <w:rFonts w:asciiTheme="minorEastAsia" w:hAnsiTheme="minorEastAsia" w:eastAsiaTheme="minorEastAsia" w:cstheme="minorEastAsia"/>
        </w:rPr>
      </w:pPr>
      <w:r>
        <w:rPr>
          <w:rFonts w:hint="eastAsia" w:asciiTheme="minorEastAsia" w:hAnsiTheme="minorEastAsia" w:eastAsiaTheme="minorEastAsia" w:cstheme="minorEastAsia"/>
        </w:rPr>
        <w:t>6.《广西壮族自治区乡村旅游发展“十三五”规划》；</w:t>
      </w:r>
    </w:p>
    <w:p>
      <w:pPr>
        <w:ind w:firstLine="560"/>
        <w:rPr>
          <w:rFonts w:asciiTheme="minorEastAsia" w:hAnsiTheme="minorEastAsia" w:eastAsiaTheme="minorEastAsia" w:cstheme="minorEastAsia"/>
        </w:rPr>
      </w:pPr>
      <w:r>
        <w:rPr>
          <w:rFonts w:hint="eastAsia" w:asciiTheme="minorEastAsia" w:hAnsiTheme="minorEastAsia" w:eastAsiaTheme="minorEastAsia" w:cstheme="minorEastAsia"/>
        </w:rPr>
        <w:t>7.《广西壮族自治区村镇建设和改善人居环境十三五规划》；</w:t>
      </w:r>
    </w:p>
    <w:p>
      <w:pPr>
        <w:ind w:firstLine="560"/>
        <w:rPr>
          <w:rFonts w:asciiTheme="minorEastAsia" w:hAnsiTheme="minorEastAsia" w:eastAsiaTheme="minorEastAsia" w:cstheme="minorEastAsia"/>
        </w:rPr>
      </w:pPr>
      <w:r>
        <w:rPr>
          <w:rFonts w:hint="eastAsia" w:asciiTheme="minorEastAsia" w:hAnsiTheme="minorEastAsia" w:eastAsiaTheme="minorEastAsia" w:cstheme="minorEastAsia"/>
        </w:rPr>
        <w:t>8.《广西壮族自治区现代农业（种植业）发展“十三五”规划》；</w:t>
      </w:r>
    </w:p>
    <w:p>
      <w:pPr>
        <w:ind w:firstLine="560"/>
        <w:rPr>
          <w:rFonts w:asciiTheme="minorEastAsia" w:hAnsiTheme="minorEastAsia" w:eastAsiaTheme="minorEastAsia" w:cstheme="minorEastAsia"/>
        </w:rPr>
      </w:pPr>
      <w:r>
        <w:rPr>
          <w:rFonts w:hint="eastAsia" w:asciiTheme="minorEastAsia" w:hAnsiTheme="minorEastAsia" w:eastAsiaTheme="minorEastAsia" w:cstheme="minorEastAsia"/>
        </w:rPr>
        <w:t>9.《广西现代特色农业产品品种品质品牌“10+3”提升行动方案》；</w:t>
      </w:r>
    </w:p>
    <w:p>
      <w:pPr>
        <w:ind w:firstLine="560"/>
        <w:rPr>
          <w:rFonts w:asciiTheme="minorEastAsia" w:hAnsiTheme="minorEastAsia" w:eastAsiaTheme="minorEastAsia" w:cstheme="minorEastAsia"/>
        </w:rPr>
      </w:pPr>
      <w:r>
        <w:rPr>
          <w:rFonts w:hint="eastAsia" w:asciiTheme="minorEastAsia" w:hAnsiTheme="minorEastAsia" w:eastAsiaTheme="minorEastAsia" w:cstheme="minorEastAsia"/>
        </w:rPr>
        <w:t>10.《广西现代特色农业示范区建设增点扩面提质升级（2018—2020）三年行动方案》厅发﹝2018﹞24 号；</w:t>
      </w:r>
    </w:p>
    <w:p>
      <w:pPr>
        <w:ind w:firstLine="560"/>
        <w:rPr>
          <w:rFonts w:asciiTheme="minorEastAsia" w:hAnsiTheme="minorEastAsia" w:eastAsiaTheme="minorEastAsia" w:cstheme="minorEastAsia"/>
        </w:rPr>
      </w:pPr>
      <w:r>
        <w:rPr>
          <w:rFonts w:hint="eastAsia" w:asciiTheme="minorEastAsia" w:hAnsiTheme="minorEastAsia" w:eastAsiaTheme="minorEastAsia" w:cstheme="minorEastAsia"/>
        </w:rPr>
        <w:t>11.《桂林市现代特色农业示范区建设增点扩面提质升级（2018—2020年）三年实施方案》；</w:t>
      </w:r>
    </w:p>
    <w:p>
      <w:pPr>
        <w:ind w:firstLine="560"/>
        <w:rPr>
          <w:rFonts w:asciiTheme="minorEastAsia" w:hAnsiTheme="minorEastAsia" w:eastAsiaTheme="minorEastAsia" w:cstheme="minorEastAsia"/>
        </w:rPr>
      </w:pPr>
      <w:r>
        <w:rPr>
          <w:rFonts w:hint="eastAsia" w:asciiTheme="minorEastAsia" w:hAnsiTheme="minorEastAsia" w:eastAsiaTheme="minorEastAsia" w:cstheme="minorEastAsia"/>
        </w:rPr>
        <w:t>12.《桂林市现代生态农业发展十三五规划》；</w:t>
      </w:r>
    </w:p>
    <w:p>
      <w:pPr>
        <w:ind w:firstLine="560"/>
        <w:rPr>
          <w:rFonts w:asciiTheme="minorEastAsia" w:hAnsiTheme="minorEastAsia" w:eastAsiaTheme="minorEastAsia" w:cstheme="minorEastAsia"/>
        </w:rPr>
      </w:pPr>
      <w:r>
        <w:rPr>
          <w:rFonts w:asciiTheme="minorEastAsia" w:hAnsiTheme="minorEastAsia" w:eastAsiaTheme="minorEastAsia" w:cstheme="minorEastAsia"/>
        </w:rPr>
        <w:t>13.</w:t>
      </w:r>
      <w:r>
        <w:rPr>
          <w:rFonts w:hint="eastAsia" w:asciiTheme="minorEastAsia" w:hAnsiTheme="minorEastAsia" w:eastAsiaTheme="minorEastAsia" w:cstheme="minorEastAsia"/>
        </w:rPr>
        <w:t>《桂林市兴安县城市总体规划》；</w:t>
      </w:r>
    </w:p>
    <w:p>
      <w:pPr>
        <w:ind w:firstLine="560"/>
        <w:rPr>
          <w:rFonts w:asciiTheme="minorEastAsia" w:hAnsiTheme="minorEastAsia" w:eastAsiaTheme="minorEastAsia" w:cstheme="minorEastAsia"/>
        </w:rPr>
      </w:pPr>
      <w:r>
        <w:rPr>
          <w:rFonts w:hint="eastAsia" w:asciiTheme="minorEastAsia" w:hAnsiTheme="minorEastAsia" w:eastAsiaTheme="minorEastAsia" w:cstheme="minorEastAsia"/>
        </w:rPr>
        <w:t>1</w:t>
      </w:r>
      <w:r>
        <w:rPr>
          <w:rFonts w:asciiTheme="minorEastAsia" w:hAnsiTheme="minorEastAsia" w:eastAsiaTheme="minorEastAsia" w:cstheme="minorEastAsia"/>
        </w:rPr>
        <w:t>4</w:t>
      </w:r>
      <w:r>
        <w:rPr>
          <w:rFonts w:hint="eastAsia" w:asciiTheme="minorEastAsia" w:hAnsiTheme="minorEastAsia" w:eastAsiaTheme="minorEastAsia" w:cstheme="minorEastAsia"/>
        </w:rPr>
        <w:t>.《兴安县国民经济与社会发展第十三个五年规划》；</w:t>
      </w:r>
    </w:p>
    <w:p>
      <w:pPr>
        <w:ind w:firstLine="560"/>
        <w:rPr>
          <w:rFonts w:asciiTheme="minorEastAsia" w:hAnsiTheme="minorEastAsia" w:eastAsiaTheme="minorEastAsia" w:cstheme="minorEastAsia"/>
        </w:rPr>
      </w:pPr>
      <w:r>
        <w:rPr>
          <w:rFonts w:hint="eastAsia" w:asciiTheme="minorEastAsia" w:hAnsiTheme="minorEastAsia" w:eastAsiaTheme="minorEastAsia" w:cstheme="minorEastAsia"/>
        </w:rPr>
        <w:t>1</w:t>
      </w:r>
      <w:r>
        <w:rPr>
          <w:rFonts w:asciiTheme="minorEastAsia" w:hAnsiTheme="minorEastAsia" w:eastAsiaTheme="minorEastAsia" w:cstheme="minorEastAsia"/>
        </w:rPr>
        <w:t>5</w:t>
      </w:r>
      <w:r>
        <w:rPr>
          <w:rFonts w:hint="eastAsia" w:asciiTheme="minorEastAsia" w:hAnsiTheme="minorEastAsia" w:eastAsiaTheme="minorEastAsia" w:cstheme="minorEastAsia"/>
        </w:rPr>
        <w:t>.《兴安县土地利用总体规划（2006-2020年）调整完善方案》；</w:t>
      </w:r>
    </w:p>
    <w:p>
      <w:pPr>
        <w:ind w:firstLine="560"/>
        <w:rPr>
          <w:rFonts w:asciiTheme="minorEastAsia" w:hAnsiTheme="minorEastAsia" w:eastAsiaTheme="minorEastAsia" w:cstheme="minorEastAsia"/>
          <w:bCs/>
        </w:rPr>
      </w:pPr>
      <w:r>
        <w:rPr>
          <w:rFonts w:hint="eastAsia" w:asciiTheme="minorEastAsia" w:hAnsiTheme="minorEastAsia" w:eastAsiaTheme="minorEastAsia" w:cstheme="minorEastAsia"/>
          <w:bCs/>
        </w:rPr>
        <w:t>1</w:t>
      </w:r>
      <w:r>
        <w:rPr>
          <w:rFonts w:asciiTheme="minorEastAsia" w:hAnsiTheme="minorEastAsia" w:eastAsiaTheme="minorEastAsia" w:cstheme="minorEastAsia"/>
          <w:bCs/>
        </w:rPr>
        <w:t>6</w:t>
      </w:r>
      <w:r>
        <w:rPr>
          <w:rFonts w:hint="eastAsia" w:asciiTheme="minorEastAsia" w:hAnsiTheme="minorEastAsia" w:eastAsiaTheme="minorEastAsia" w:cstheme="minorEastAsia"/>
          <w:bCs/>
        </w:rPr>
        <w:t>.《兴安县现代特色农业总体规划》；</w:t>
      </w:r>
    </w:p>
    <w:p>
      <w:pPr>
        <w:ind w:firstLine="560"/>
        <w:rPr>
          <w:rFonts w:asciiTheme="minorEastAsia" w:hAnsiTheme="minorEastAsia" w:eastAsiaTheme="minorEastAsia" w:cstheme="minorEastAsia"/>
          <w:bCs/>
        </w:rPr>
      </w:pPr>
      <w:r>
        <w:rPr>
          <w:rFonts w:hint="eastAsia" w:asciiTheme="minorEastAsia" w:hAnsiTheme="minorEastAsia" w:eastAsiaTheme="minorEastAsia" w:cstheme="minorEastAsia"/>
          <w:bCs/>
        </w:rPr>
        <w:t>1</w:t>
      </w:r>
      <w:r>
        <w:rPr>
          <w:rFonts w:asciiTheme="minorEastAsia" w:hAnsiTheme="minorEastAsia" w:eastAsiaTheme="minorEastAsia" w:cstheme="minorEastAsia"/>
          <w:bCs/>
        </w:rPr>
        <w:t>7</w:t>
      </w:r>
      <w:r>
        <w:rPr>
          <w:rFonts w:hint="eastAsia" w:asciiTheme="minorEastAsia" w:hAnsiTheme="minorEastAsia" w:eastAsiaTheme="minorEastAsia" w:cstheme="minorEastAsia"/>
          <w:bCs/>
        </w:rPr>
        <w:t>.兴安县相关材料</w:t>
      </w:r>
      <w:bookmarkStart w:id="19" w:name="_Toc529131790"/>
      <w:r>
        <w:rPr>
          <w:rFonts w:hint="eastAsia" w:asciiTheme="minorEastAsia" w:hAnsiTheme="minorEastAsia" w:eastAsiaTheme="minorEastAsia" w:cstheme="minorEastAsia"/>
          <w:bCs/>
        </w:rPr>
        <w:t>。</w:t>
      </w:r>
    </w:p>
    <w:p>
      <w:pPr>
        <w:pStyle w:val="3"/>
        <w:ind w:firstLine="643"/>
      </w:pPr>
      <w:bookmarkStart w:id="20" w:name="_Toc21594828"/>
      <w:bookmarkStart w:id="21" w:name="_Toc18417384"/>
      <w:r>
        <w:rPr>
          <w:rFonts w:hint="eastAsia"/>
        </w:rPr>
        <w:t>六、技术路线</w:t>
      </w:r>
      <w:bookmarkEnd w:id="19"/>
      <w:bookmarkEnd w:id="20"/>
      <w:bookmarkEnd w:id="21"/>
    </w:p>
    <w:p>
      <w:pPr>
        <w:ind w:firstLine="560"/>
        <w:rPr>
          <w:rFonts w:hint="eastAsia"/>
        </w:rPr>
      </w:pPr>
      <w:r>
        <w:rPr>
          <w:rFonts w:hint="eastAsia"/>
        </w:rPr>
        <w:drawing>
          <wp:inline distT="0" distB="0" distL="0" distR="0">
            <wp:extent cx="6292850" cy="5440680"/>
            <wp:effectExtent l="0" t="0" r="0" b="762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5344" cy="5451003"/>
                    </a:xfrm>
                    <a:prstGeom prst="rect">
                      <a:avLst/>
                    </a:prstGeom>
                  </pic:spPr>
                </pic:pic>
              </a:graphicData>
            </a:graphic>
          </wp:inline>
        </w:drawing>
      </w:r>
    </w:p>
    <w:p>
      <w:pPr>
        <w:ind w:firstLine="560"/>
        <w:jc w:val="center"/>
      </w:pPr>
      <w:r>
        <w:rPr>
          <w:rFonts w:hint="eastAsia"/>
        </w:rPr>
        <w:t>图1</w:t>
      </w:r>
      <w:r>
        <w:t xml:space="preserve">-2 </w:t>
      </w:r>
      <w:r>
        <w:rPr>
          <w:rFonts w:hint="eastAsia"/>
        </w:rPr>
        <w:t>技术路线</w:t>
      </w:r>
      <w:r>
        <w:t>图</w:t>
      </w:r>
      <w:bookmarkStart w:id="22" w:name="_Toc529131791"/>
    </w:p>
    <w:p>
      <w:pPr>
        <w:widowControl/>
        <w:ind w:firstLine="0" w:firstLineChars="0"/>
        <w:jc w:val="left"/>
        <w:rPr>
          <w:rFonts w:ascii="宋体" w:hAnsi="宋体" w:cs="宋体"/>
          <w:color w:val="000000"/>
          <w:szCs w:val="28"/>
        </w:rPr>
      </w:pPr>
      <w:r>
        <w:rPr>
          <w:rFonts w:ascii="宋体" w:hAnsi="宋体" w:cs="宋体"/>
          <w:color w:val="000000"/>
          <w:szCs w:val="28"/>
        </w:rPr>
        <w:br w:type="page"/>
      </w:r>
    </w:p>
    <w:p>
      <w:pPr>
        <w:pStyle w:val="2"/>
      </w:pPr>
      <w:bookmarkStart w:id="23" w:name="_Toc18417385"/>
      <w:bookmarkStart w:id="24" w:name="_Toc21594829"/>
      <w:r>
        <w:rPr>
          <w:rFonts w:hint="eastAsia"/>
        </w:rPr>
        <w:t>第二章 区域概况</w:t>
      </w:r>
      <w:bookmarkEnd w:id="22"/>
      <w:bookmarkEnd w:id="23"/>
      <w:bookmarkEnd w:id="24"/>
    </w:p>
    <w:p>
      <w:pPr>
        <w:pStyle w:val="3"/>
        <w:ind w:firstLine="643"/>
      </w:pPr>
      <w:bookmarkStart w:id="25" w:name="_Toc21594830"/>
      <w:bookmarkStart w:id="26" w:name="_Toc18417386"/>
      <w:bookmarkStart w:id="27" w:name="_Toc529131792"/>
      <w:r>
        <w:rPr>
          <w:rFonts w:hint="eastAsia"/>
        </w:rPr>
        <w:t>一、地理区位概况</w:t>
      </w:r>
      <w:bookmarkEnd w:id="25"/>
      <w:bookmarkEnd w:id="26"/>
      <w:bookmarkEnd w:id="27"/>
    </w:p>
    <w:p>
      <w:pPr>
        <w:pStyle w:val="4"/>
        <w:spacing w:before="156" w:after="156"/>
        <w:ind w:firstLine="452"/>
      </w:pPr>
      <w:r>
        <w:rPr>
          <w:rFonts w:hint="eastAsia"/>
        </w:rPr>
        <w:t>（一）行政区位</w:t>
      </w:r>
    </w:p>
    <w:p>
      <w:pPr>
        <w:ind w:firstLine="560"/>
        <w:rPr>
          <w:color w:val="000000"/>
          <w:shd w:val="clear" w:color="auto" w:fill="FFFFFF"/>
        </w:rPr>
      </w:pPr>
      <w:r>
        <w:rPr>
          <w:color w:val="000000"/>
        </w:rPr>
        <w:t>兴安县位于广西壮族自治区的东北部，兴安县下辖</w:t>
      </w:r>
      <w:r>
        <w:fldChar w:fldCharType="begin"/>
      </w:r>
      <w:r>
        <w:instrText xml:space="preserve"> HYPERLINK "https://baike.baidu.com/item/%E5%85%B4%E5%AE%89%E9%95%87/15889401" \t "_blank" </w:instrText>
      </w:r>
      <w:r>
        <w:fldChar w:fldCharType="separate"/>
      </w:r>
      <w:r>
        <w:rPr>
          <w:color w:val="000000"/>
        </w:rPr>
        <w:t>兴安镇</w:t>
      </w:r>
      <w:r>
        <w:rPr>
          <w:color w:val="000000"/>
        </w:rPr>
        <w:fldChar w:fldCharType="end"/>
      </w:r>
      <w:r>
        <w:rPr>
          <w:color w:val="000000"/>
        </w:rPr>
        <w:t>、</w:t>
      </w:r>
      <w:r>
        <w:fldChar w:fldCharType="begin"/>
      </w:r>
      <w:r>
        <w:instrText xml:space="preserve"> HYPERLINK "https://baike.baidu.com/item/%E6%B9%98%E6%BC%93%E9%95%87" \t "_blank" </w:instrText>
      </w:r>
      <w:r>
        <w:fldChar w:fldCharType="separate"/>
      </w:r>
      <w:r>
        <w:rPr>
          <w:color w:val="000000"/>
        </w:rPr>
        <w:t>湘漓镇</w:t>
      </w:r>
      <w:r>
        <w:rPr>
          <w:color w:val="000000"/>
        </w:rPr>
        <w:fldChar w:fldCharType="end"/>
      </w:r>
      <w:r>
        <w:rPr>
          <w:color w:val="000000"/>
        </w:rPr>
        <w:t>、</w:t>
      </w:r>
      <w:r>
        <w:fldChar w:fldCharType="begin"/>
      </w:r>
      <w:r>
        <w:instrText xml:space="preserve"> HYPERLINK "https://baike.baidu.com/item/%E7%95%8C%E9%A6%96%E9%95%87/9321235" \t "_blank" </w:instrText>
      </w:r>
      <w:r>
        <w:fldChar w:fldCharType="separate"/>
      </w:r>
      <w:r>
        <w:rPr>
          <w:color w:val="000000"/>
        </w:rPr>
        <w:t>界首镇</w:t>
      </w:r>
      <w:r>
        <w:rPr>
          <w:color w:val="000000"/>
        </w:rPr>
        <w:fldChar w:fldCharType="end"/>
      </w:r>
      <w:r>
        <w:rPr>
          <w:color w:val="000000"/>
        </w:rPr>
        <w:t>、</w:t>
      </w:r>
      <w:r>
        <w:fldChar w:fldCharType="begin"/>
      </w:r>
      <w:r>
        <w:instrText xml:space="preserve"> HYPERLINK "https://baike.baidu.com/item/%E9%AB%98%E5%B0%9A%E9%95%87" \t "_blank" </w:instrText>
      </w:r>
      <w:r>
        <w:fldChar w:fldCharType="separate"/>
      </w:r>
      <w:r>
        <w:rPr>
          <w:color w:val="000000"/>
        </w:rPr>
        <w:t>高尚镇</w:t>
      </w:r>
      <w:r>
        <w:rPr>
          <w:color w:val="000000"/>
        </w:rPr>
        <w:fldChar w:fldCharType="end"/>
      </w:r>
      <w:r>
        <w:rPr>
          <w:color w:val="000000"/>
        </w:rPr>
        <w:t>、</w:t>
      </w:r>
      <w:r>
        <w:fldChar w:fldCharType="begin"/>
      </w:r>
      <w:r>
        <w:instrText xml:space="preserve"> HYPERLINK "https://baike.baidu.com/item/%E4%B8%A5%E5%85%B3%E9%95%87" \t "_blank" </w:instrText>
      </w:r>
      <w:r>
        <w:fldChar w:fldCharType="separate"/>
      </w:r>
      <w:r>
        <w:rPr>
          <w:color w:val="000000"/>
        </w:rPr>
        <w:t>严关镇</w:t>
      </w:r>
      <w:r>
        <w:rPr>
          <w:color w:val="000000"/>
        </w:rPr>
        <w:fldChar w:fldCharType="end"/>
      </w:r>
      <w:r>
        <w:rPr>
          <w:color w:val="000000"/>
        </w:rPr>
        <w:t>、</w:t>
      </w:r>
      <w:r>
        <w:fldChar w:fldCharType="begin"/>
      </w:r>
      <w:r>
        <w:instrText xml:space="preserve"> HYPERLINK "https://baike.baidu.com/item/%E6%BA%B6%E6%B1%9F%E9%95%87" \t "_blank" </w:instrText>
      </w:r>
      <w:r>
        <w:fldChar w:fldCharType="separate"/>
      </w:r>
      <w:r>
        <w:rPr>
          <w:color w:val="000000"/>
        </w:rPr>
        <w:t>溶江镇</w:t>
      </w:r>
      <w:r>
        <w:rPr>
          <w:color w:val="000000"/>
        </w:rPr>
        <w:fldChar w:fldCharType="end"/>
      </w:r>
      <w:r>
        <w:rPr>
          <w:rFonts w:hint="eastAsia"/>
          <w:color w:val="000000"/>
        </w:rPr>
        <w:t>、</w:t>
      </w:r>
      <w:r>
        <w:fldChar w:fldCharType="begin"/>
      </w:r>
      <w:r>
        <w:instrText xml:space="preserve"> HYPERLINK "https://baike.baidu.com/item/%E6%BC%A0%E5%B7%9D%E4%B9%A1" \t "_blank" </w:instrText>
      </w:r>
      <w:r>
        <w:fldChar w:fldCharType="separate"/>
      </w:r>
      <w:r>
        <w:rPr>
          <w:color w:val="000000"/>
        </w:rPr>
        <w:t>漠川乡</w:t>
      </w:r>
      <w:r>
        <w:rPr>
          <w:color w:val="000000"/>
        </w:rPr>
        <w:fldChar w:fldCharType="end"/>
      </w:r>
      <w:r>
        <w:rPr>
          <w:color w:val="000000"/>
        </w:rPr>
        <w:t>、</w:t>
      </w:r>
      <w:r>
        <w:fldChar w:fldCharType="begin"/>
      </w:r>
      <w:r>
        <w:instrText xml:space="preserve"> HYPERLINK "https://baike.baidu.com/item/%E7%99%BD%E7%9F%B3%E4%B9%A1/17280792" \t "_blank" </w:instrText>
      </w:r>
      <w:r>
        <w:fldChar w:fldCharType="separate"/>
      </w:r>
      <w:r>
        <w:rPr>
          <w:color w:val="000000"/>
        </w:rPr>
        <w:t>白石乡</w:t>
      </w:r>
      <w:r>
        <w:rPr>
          <w:color w:val="000000"/>
        </w:rPr>
        <w:fldChar w:fldCharType="end"/>
      </w:r>
      <w:r>
        <w:rPr>
          <w:color w:val="000000"/>
        </w:rPr>
        <w:t>、</w:t>
      </w:r>
      <w:r>
        <w:fldChar w:fldCharType="begin"/>
      </w:r>
      <w:r>
        <w:instrText xml:space="preserve"> HYPERLINK "https://baike.baidu.com/item/%E5%B4%94%E5%AE%B6%E4%B9%A1" \t "_blank" </w:instrText>
      </w:r>
      <w:r>
        <w:fldChar w:fldCharType="separate"/>
      </w:r>
      <w:r>
        <w:rPr>
          <w:color w:val="000000"/>
        </w:rPr>
        <w:t>崔家乡</w:t>
      </w:r>
      <w:r>
        <w:rPr>
          <w:color w:val="000000"/>
        </w:rPr>
        <w:fldChar w:fldCharType="end"/>
      </w:r>
      <w:r>
        <w:rPr>
          <w:color w:val="000000"/>
        </w:rPr>
        <w:t>、</w:t>
      </w:r>
      <w:r>
        <w:fldChar w:fldCharType="begin"/>
      </w:r>
      <w:r>
        <w:instrText xml:space="preserve"> HYPERLINK "https://baike.baidu.com/item/%E5%8D%8E%E6%B1%9F%E7%91%B6%E6%97%8F%E4%B9%A1" \t "_blank" </w:instrText>
      </w:r>
      <w:r>
        <w:fldChar w:fldCharType="separate"/>
      </w:r>
      <w:r>
        <w:rPr>
          <w:color w:val="000000"/>
        </w:rPr>
        <w:t>华江瑶族乡</w:t>
      </w:r>
      <w:r>
        <w:rPr>
          <w:color w:val="000000"/>
        </w:rPr>
        <w:fldChar w:fldCharType="end"/>
      </w:r>
      <w:r>
        <w:rPr>
          <w:color w:val="000000"/>
        </w:rPr>
        <w:t>，共10个乡（镇）</w:t>
      </w:r>
      <w:r>
        <w:rPr>
          <w:rFonts w:hint="eastAsia"/>
          <w:color w:val="000000"/>
        </w:rPr>
        <w:t>，</w:t>
      </w:r>
      <w:r>
        <w:rPr>
          <w:color w:val="000000"/>
        </w:rPr>
        <w:t>115行政村，</w:t>
      </w:r>
      <w:r>
        <w:rPr>
          <w:rFonts w:hint="eastAsia"/>
          <w:color w:val="000000" w:themeColor="text1"/>
          <w14:textFill>
            <w14:solidFill>
              <w14:schemeClr w14:val="tx1"/>
            </w14:solidFill>
          </w14:textFill>
        </w:rPr>
        <w:t>10</w:t>
      </w:r>
      <w:r>
        <w:rPr>
          <w:color w:val="000000" w:themeColor="text1"/>
          <w14:textFill>
            <w14:solidFill>
              <w14:schemeClr w14:val="tx1"/>
            </w14:solidFill>
          </w14:textFill>
        </w:rPr>
        <w:t>个社区，</w:t>
      </w:r>
      <w:r>
        <w:rPr>
          <w:rFonts w:hint="eastAsia"/>
          <w:color w:val="000000" w:themeColor="text1"/>
          <w14:textFill>
            <w14:solidFill>
              <w14:schemeClr w14:val="tx1"/>
            </w14:solidFill>
          </w14:textFill>
        </w:rPr>
        <w:t>1293</w:t>
      </w:r>
      <w:r>
        <w:rPr>
          <w:color w:val="000000" w:themeColor="text1"/>
          <w14:textFill>
            <w14:solidFill>
              <w14:schemeClr w14:val="tx1"/>
            </w14:solidFill>
          </w14:textFill>
        </w:rPr>
        <w:t>个自然村</w:t>
      </w:r>
      <w:r>
        <w:rPr>
          <w:rFonts w:hint="eastAsia"/>
          <w:color w:val="000000"/>
        </w:rPr>
        <w:t>，</w:t>
      </w:r>
      <w:r>
        <w:rPr>
          <w:color w:val="000000"/>
        </w:rPr>
        <w:t>总人口39.26万</w:t>
      </w:r>
      <w:r>
        <w:rPr>
          <w:rFonts w:hint="eastAsia"/>
          <w:color w:val="000000"/>
        </w:rPr>
        <w:t>，</w:t>
      </w:r>
      <w:r>
        <w:rPr>
          <w:color w:val="000000"/>
        </w:rPr>
        <w:t>全县总面积2348平方公里</w:t>
      </w:r>
      <w:r>
        <w:rPr>
          <w:rFonts w:hint="eastAsia"/>
          <w:color w:val="000000"/>
        </w:rPr>
        <w:t>。</w:t>
      </w:r>
    </w:p>
    <w:p>
      <w:pPr>
        <w:ind w:firstLine="0" w:firstLineChars="0"/>
        <w:rPr>
          <w:szCs w:val="28"/>
        </w:rPr>
      </w:pPr>
      <w:r>
        <w:rPr>
          <w:szCs w:val="28"/>
        </w:rPr>
        <w:drawing>
          <wp:inline distT="0" distB="0" distL="0" distR="0">
            <wp:extent cx="6273165" cy="4382770"/>
            <wp:effectExtent l="0" t="0" r="13335" b="177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3" cstate="print">
                      <a:extLst>
                        <a:ext uri="{28A0092B-C50C-407E-A947-70E740481C1C}">
                          <a14:useLocalDpi xmlns:a14="http://schemas.microsoft.com/office/drawing/2010/main" val="0"/>
                        </a:ext>
                      </a:extLst>
                    </a:blip>
                    <a:srcRect l="2733" t="7501" r="5809" b="7259"/>
                    <a:stretch>
                      <a:fillRect/>
                    </a:stretch>
                  </pic:blipFill>
                  <pic:spPr>
                    <a:xfrm>
                      <a:off x="0" y="0"/>
                      <a:ext cx="6289113" cy="4393956"/>
                    </a:xfrm>
                    <a:prstGeom prst="rect">
                      <a:avLst/>
                    </a:prstGeom>
                    <a:ln>
                      <a:noFill/>
                    </a:ln>
                  </pic:spPr>
                </pic:pic>
              </a:graphicData>
            </a:graphic>
          </wp:inline>
        </w:drawing>
      </w:r>
    </w:p>
    <w:p>
      <w:pPr>
        <w:ind w:firstLine="0" w:firstLineChars="0"/>
        <w:jc w:val="center"/>
        <w:rPr>
          <w:rFonts w:ascii="宋体" w:hAnsi="宋体" w:cs="宋体"/>
          <w:szCs w:val="28"/>
        </w:rPr>
      </w:pPr>
      <w:r>
        <w:rPr>
          <w:rFonts w:hint="eastAsia" w:ascii="宋体" w:hAnsi="宋体" w:cs="宋体"/>
          <w:szCs w:val="28"/>
        </w:rPr>
        <w:t>图2</w:t>
      </w:r>
      <w:r>
        <w:rPr>
          <w:rFonts w:ascii="宋体" w:hAnsi="宋体" w:cs="宋体"/>
          <w:szCs w:val="28"/>
        </w:rPr>
        <w:t xml:space="preserve">-1 </w:t>
      </w:r>
      <w:r>
        <w:rPr>
          <w:rFonts w:hint="eastAsia" w:ascii="宋体" w:hAnsi="宋体" w:cs="宋体"/>
          <w:szCs w:val="28"/>
        </w:rPr>
        <w:t>地理区位图</w:t>
      </w:r>
    </w:p>
    <w:p>
      <w:pPr>
        <w:pStyle w:val="4"/>
        <w:spacing w:before="156" w:after="156"/>
        <w:ind w:firstLine="452"/>
      </w:pPr>
      <w:r>
        <w:rPr>
          <w:rFonts w:hint="eastAsia"/>
        </w:rPr>
        <w:t>（二）地理区位</w:t>
      </w:r>
      <w:r>
        <w:rPr>
          <w:rFonts w:hint="eastAsia"/>
        </w:rPr>
        <w:tab/>
      </w:r>
    </w:p>
    <w:p>
      <w:pPr>
        <w:ind w:firstLine="560"/>
      </w:pPr>
      <w:r>
        <w:rPr>
          <w:rFonts w:hint="eastAsia"/>
        </w:rPr>
        <w:t>兴安县隶属于广西壮族自治区桂林市，位于广西东北部，地处东经</w:t>
      </w:r>
      <w:r>
        <w:rPr>
          <w:rFonts w:cs="Calibri"/>
        </w:rPr>
        <w:t>110°14′-</w:t>
      </w:r>
      <w:r>
        <w:t>110°56′</w:t>
      </w:r>
      <w:r>
        <w:rPr>
          <w:rFonts w:hint="eastAsia"/>
        </w:rPr>
        <w:t>，北纬</w:t>
      </w:r>
      <w:r>
        <w:t>25°17′-25°55′</w:t>
      </w:r>
      <w:r>
        <w:rPr>
          <w:rFonts w:hint="eastAsia"/>
        </w:rPr>
        <w:t>之间，东南接灌阳县，西南濒灵川县，西北临龙胜各族自治县，北与资源县为邻，东北与全州县接壤。</w:t>
      </w:r>
    </w:p>
    <w:p>
      <w:pPr>
        <w:ind w:firstLine="560"/>
      </w:pPr>
    </w:p>
    <w:p>
      <w:pPr>
        <w:pStyle w:val="4"/>
        <w:spacing w:before="156" w:after="156"/>
        <w:ind w:firstLine="452"/>
      </w:pPr>
      <w:r>
        <w:rPr>
          <w:rFonts w:hint="eastAsia"/>
        </w:rPr>
        <w:t>（三）交通区位</w:t>
      </w:r>
    </w:p>
    <w:p>
      <w:pPr>
        <w:ind w:firstLine="560"/>
      </w:pPr>
      <w:r>
        <w:rPr>
          <w:rFonts w:hint="eastAsia"/>
        </w:rPr>
        <w:t>兴安县坐落在灵渠之畔，地处</w:t>
      </w:r>
      <w:r>
        <w:rPr>
          <w:rFonts w:cs="Calibri" w:asciiTheme="minorEastAsia" w:hAnsiTheme="minorEastAsia" w:eastAsiaTheme="minorEastAsia"/>
        </w:rPr>
        <w:t>“</w:t>
      </w:r>
      <w:r>
        <w:rPr>
          <w:rFonts w:hint="eastAsia"/>
        </w:rPr>
        <w:t>湘桂走廊</w:t>
      </w:r>
      <w:r>
        <w:rPr>
          <w:rFonts w:cs="Calibri" w:asciiTheme="minorEastAsia" w:hAnsiTheme="minorEastAsia" w:eastAsiaTheme="minorEastAsia"/>
        </w:rPr>
        <w:t>”</w:t>
      </w:r>
      <w:r>
        <w:rPr>
          <w:rFonts w:hint="eastAsia"/>
        </w:rPr>
        <w:t>要冲，区位优势明显。县境内有国道</w:t>
      </w:r>
      <w:r>
        <w:rPr>
          <w:rFonts w:cs="Calibri"/>
        </w:rPr>
        <w:t>322</w:t>
      </w:r>
      <w:r>
        <w:rPr>
          <w:rFonts w:hint="eastAsia"/>
        </w:rPr>
        <w:t>线一级公路和湘桂铁路、衡柳铁路以及衡昆高速公路纵贯，距桂林两江国际机场</w:t>
      </w:r>
      <w:r>
        <w:rPr>
          <w:rFonts w:cs="Calibri"/>
        </w:rPr>
        <w:t>75</w:t>
      </w:r>
      <w:r>
        <w:rPr>
          <w:rFonts w:hint="eastAsia"/>
        </w:rPr>
        <w:t>公里，仅一小时车程。衡昆高速公路在兴安有</w:t>
      </w:r>
      <w:r>
        <w:rPr>
          <w:rFonts w:cs="Calibri"/>
        </w:rPr>
        <w:t>4</w:t>
      </w:r>
      <w:r>
        <w:rPr>
          <w:rFonts w:hint="eastAsia"/>
        </w:rPr>
        <w:t>个出入口，湘桂铁路、衡柳铁路分别在兴安境内设有兴安站和兴安北站。</w:t>
      </w:r>
    </w:p>
    <w:p>
      <w:pPr>
        <w:ind w:firstLine="0" w:firstLineChars="0"/>
        <w:rPr>
          <w:color w:val="00B050"/>
          <w:shd w:val="clear" w:color="auto" w:fill="FFFFFF"/>
        </w:rPr>
      </w:pPr>
      <w:r>
        <w:rPr>
          <w:color w:val="00B050"/>
          <w:szCs w:val="28"/>
        </w:rPr>
        <w:drawing>
          <wp:inline distT="0" distB="0" distL="0" distR="0">
            <wp:extent cx="5979795" cy="4084955"/>
            <wp:effectExtent l="0" t="0" r="1905" b="10795"/>
            <wp:docPr id="4" name="图片 4" descr="03-交通现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3-交通现状图"/>
                    <pic:cNvPicPr>
                      <a:picLocks noChangeAspect="1" noChangeArrowheads="1"/>
                    </pic:cNvPicPr>
                  </pic:nvPicPr>
                  <pic:blipFill>
                    <a:blip r:embed="rId24" cstate="print">
                      <a:extLst>
                        <a:ext uri="{28A0092B-C50C-407E-A947-70E740481C1C}">
                          <a14:useLocalDpi xmlns:a14="http://schemas.microsoft.com/office/drawing/2010/main" val="0"/>
                        </a:ext>
                      </a:extLst>
                    </a:blip>
                    <a:srcRect b="3369"/>
                    <a:stretch>
                      <a:fillRect/>
                    </a:stretch>
                  </pic:blipFill>
                  <pic:spPr>
                    <a:xfrm>
                      <a:off x="0" y="0"/>
                      <a:ext cx="5979795" cy="4084955"/>
                    </a:xfrm>
                    <a:prstGeom prst="rect">
                      <a:avLst/>
                    </a:prstGeom>
                    <a:noFill/>
                    <a:ln>
                      <a:noFill/>
                    </a:ln>
                  </pic:spPr>
                </pic:pic>
              </a:graphicData>
            </a:graphic>
          </wp:inline>
        </w:drawing>
      </w:r>
    </w:p>
    <w:p>
      <w:pPr>
        <w:ind w:firstLine="560"/>
        <w:jc w:val="center"/>
        <w:rPr>
          <w:rFonts w:ascii="宋体" w:hAnsi="宋体" w:cs="宋体"/>
          <w:szCs w:val="28"/>
        </w:rPr>
      </w:pPr>
      <w:r>
        <w:rPr>
          <w:rFonts w:hint="eastAsia" w:ascii="宋体" w:hAnsi="宋体" w:cs="宋体"/>
          <w:szCs w:val="28"/>
        </w:rPr>
        <w:t>图2</w:t>
      </w:r>
      <w:r>
        <w:rPr>
          <w:rFonts w:ascii="宋体" w:hAnsi="宋体" w:cs="宋体"/>
          <w:szCs w:val="28"/>
        </w:rPr>
        <w:t xml:space="preserve">-2 </w:t>
      </w:r>
      <w:r>
        <w:rPr>
          <w:rFonts w:hint="eastAsia" w:ascii="宋体" w:hAnsi="宋体" w:cs="宋体"/>
          <w:szCs w:val="28"/>
        </w:rPr>
        <w:t>交通区位</w:t>
      </w:r>
      <w:r>
        <w:rPr>
          <w:rFonts w:ascii="宋体" w:hAnsi="宋体" w:cs="宋体"/>
          <w:szCs w:val="28"/>
        </w:rPr>
        <w:t>图</w:t>
      </w:r>
    </w:p>
    <w:p>
      <w:pPr>
        <w:pStyle w:val="3"/>
        <w:ind w:firstLine="643"/>
      </w:pPr>
      <w:bookmarkStart w:id="28" w:name="_Toc529131793"/>
      <w:bookmarkStart w:id="29" w:name="_Toc18417387"/>
      <w:bookmarkStart w:id="30" w:name="_Toc21594831"/>
      <w:r>
        <w:rPr>
          <w:rFonts w:hint="eastAsia"/>
        </w:rPr>
        <w:t>二</w:t>
      </w:r>
      <w:r>
        <w:t>、</w:t>
      </w:r>
      <w:r>
        <w:rPr>
          <w:rFonts w:hint="eastAsia"/>
        </w:rPr>
        <w:t>社会经济概况</w:t>
      </w:r>
      <w:bookmarkEnd w:id="28"/>
      <w:bookmarkEnd w:id="29"/>
      <w:bookmarkEnd w:id="30"/>
    </w:p>
    <w:p>
      <w:pPr>
        <w:pStyle w:val="4"/>
        <w:spacing w:before="156" w:after="156"/>
        <w:ind w:firstLine="452"/>
      </w:pPr>
      <w:r>
        <w:rPr>
          <w:rFonts w:hint="eastAsia"/>
        </w:rPr>
        <w:t>（一）社会概况</w:t>
      </w:r>
    </w:p>
    <w:p>
      <w:pPr>
        <w:ind w:firstLine="560"/>
      </w:pPr>
      <w:r>
        <w:t>兴安县位于广西东北部、桂林市北部，</w:t>
      </w:r>
      <w:r>
        <w:rPr>
          <w:rFonts w:hint="eastAsia"/>
        </w:rPr>
        <w:t>被为“兴盛之都、安定之”。</w:t>
      </w:r>
      <w:r>
        <w:t>兴安自然条件优越，物产丰富，盛产大米、葡萄、柑桔、银杏、毛竹、生猪等农产品，是</w:t>
      </w:r>
      <w:r>
        <w:rPr>
          <w:rFonts w:asciiTheme="minorEastAsia" w:hAnsiTheme="minorEastAsia" w:eastAsiaTheme="minorEastAsia"/>
        </w:rPr>
        <w:t>“</w:t>
      </w:r>
      <w:r>
        <w:t>全国产粮大县</w:t>
      </w:r>
      <w:r>
        <w:rPr>
          <w:rFonts w:hint="eastAsia"/>
        </w:rPr>
        <w:t>”</w:t>
      </w:r>
      <w:r>
        <w:t>、</w:t>
      </w:r>
      <w:r>
        <w:rPr>
          <w:rFonts w:asciiTheme="minorEastAsia" w:hAnsiTheme="minorEastAsia" w:eastAsiaTheme="minorEastAsia"/>
        </w:rPr>
        <w:t>“</w:t>
      </w:r>
      <w:r>
        <w:t>全国生猪调出大县</w:t>
      </w:r>
      <w:r>
        <w:rPr>
          <w:rFonts w:asciiTheme="minorEastAsia" w:hAnsiTheme="minorEastAsia" w:eastAsiaTheme="minorEastAsia"/>
        </w:rPr>
        <w:t>”</w:t>
      </w:r>
      <w:r>
        <w:t>、</w:t>
      </w:r>
      <w:r>
        <w:rPr>
          <w:rFonts w:asciiTheme="minorEastAsia" w:hAnsiTheme="minorEastAsia" w:eastAsiaTheme="minorEastAsia"/>
        </w:rPr>
        <w:t>“</w:t>
      </w:r>
      <w:r>
        <w:t>中国毛竹之乡</w:t>
      </w:r>
      <w:r>
        <w:rPr>
          <w:rFonts w:hint="eastAsia"/>
        </w:rPr>
        <w:t>”</w:t>
      </w:r>
      <w:r>
        <w:t>和</w:t>
      </w:r>
      <w:r>
        <w:rPr>
          <w:rFonts w:asciiTheme="minorEastAsia" w:hAnsiTheme="minorEastAsia" w:eastAsiaTheme="minorEastAsia"/>
        </w:rPr>
        <w:t>“</w:t>
      </w:r>
      <w:r>
        <w:t>全国优质葡萄生产基地</w:t>
      </w:r>
      <w:r>
        <w:rPr>
          <w:rFonts w:hint="eastAsia"/>
        </w:rPr>
        <w:t>”</w:t>
      </w:r>
      <w:r>
        <w:t>，享有</w:t>
      </w:r>
      <w:r>
        <w:rPr>
          <w:rFonts w:asciiTheme="minorEastAsia" w:hAnsiTheme="minorEastAsia" w:eastAsiaTheme="minorEastAsia"/>
        </w:rPr>
        <w:t>“</w:t>
      </w:r>
      <w:r>
        <w:t>南方吐鲁番</w:t>
      </w:r>
      <w:r>
        <w:rPr>
          <w:rFonts w:hint="eastAsia"/>
        </w:rPr>
        <w:t>”</w:t>
      </w:r>
      <w:r>
        <w:t>的美誉</w:t>
      </w:r>
      <w:r>
        <w:rPr>
          <w:rFonts w:hint="eastAsia"/>
        </w:rPr>
        <w:t>。</w:t>
      </w:r>
      <w:r>
        <w:t>境内主要民族为</w:t>
      </w:r>
      <w:r>
        <w:fldChar w:fldCharType="begin"/>
      </w:r>
      <w:r>
        <w:instrText xml:space="preserve"> HYPERLINK "https://baike.baidu.com/item/%E6%B1%89%E6%97%8F" \t "_blank" </w:instrText>
      </w:r>
      <w:r>
        <w:fldChar w:fldCharType="separate"/>
      </w:r>
      <w:r>
        <w:t>汉族</w:t>
      </w:r>
      <w:r>
        <w:fldChar w:fldCharType="end"/>
      </w:r>
      <w:r>
        <w:t>，另有</w:t>
      </w:r>
      <w:r>
        <w:fldChar w:fldCharType="begin"/>
      </w:r>
      <w:r>
        <w:instrText xml:space="preserve"> HYPERLINK "https://baike.baidu.com/item/%E7%91%B6%E6%97%8F" \t "_blank" </w:instrText>
      </w:r>
      <w:r>
        <w:fldChar w:fldCharType="separate"/>
      </w:r>
      <w:r>
        <w:t>瑶族</w:t>
      </w:r>
      <w:r>
        <w:fldChar w:fldCharType="end"/>
      </w:r>
      <w:r>
        <w:t>、</w:t>
      </w:r>
      <w:r>
        <w:fldChar w:fldCharType="begin"/>
      </w:r>
      <w:r>
        <w:instrText xml:space="preserve"> HYPERLINK "https://baike.baidu.com/item/%E5%A3%AE%E6%97%8F" \t "_blank" </w:instrText>
      </w:r>
      <w:r>
        <w:fldChar w:fldCharType="separate"/>
      </w:r>
      <w:r>
        <w:t>壮族</w:t>
      </w:r>
      <w:r>
        <w:fldChar w:fldCharType="end"/>
      </w:r>
      <w:r>
        <w:t>、</w:t>
      </w:r>
      <w:r>
        <w:fldChar w:fldCharType="begin"/>
      </w:r>
      <w:r>
        <w:instrText xml:space="preserve"> HYPERLINK "https://baike.baidu.com/item/%E5%9B%9E%E6%97%8F" \t "_blank" </w:instrText>
      </w:r>
      <w:r>
        <w:fldChar w:fldCharType="separate"/>
      </w:r>
      <w:r>
        <w:t>回族</w:t>
      </w:r>
      <w:r>
        <w:fldChar w:fldCharType="end"/>
      </w:r>
      <w:r>
        <w:t>等27个少数民族，过千人的少数民族有</w:t>
      </w:r>
      <w:r>
        <w:fldChar w:fldCharType="begin"/>
      </w:r>
      <w:r>
        <w:instrText xml:space="preserve"> HYPERLINK "https://baike.baidu.com/item/%E7%91%B6%E6%97%8F" \t "_blank" </w:instrText>
      </w:r>
      <w:r>
        <w:fldChar w:fldCharType="separate"/>
      </w:r>
      <w:r>
        <w:t>瑶族</w:t>
      </w:r>
      <w:r>
        <w:fldChar w:fldCharType="end"/>
      </w:r>
      <w:r>
        <w:t>、</w:t>
      </w:r>
      <w:r>
        <w:fldChar w:fldCharType="begin"/>
      </w:r>
      <w:r>
        <w:instrText xml:space="preserve"> HYPERLINK "https://baike.baidu.com/item/%E5%A3%AE%E6%97%8F" \t "_blank" </w:instrText>
      </w:r>
      <w:r>
        <w:fldChar w:fldCharType="separate"/>
      </w:r>
      <w:r>
        <w:t>壮族</w:t>
      </w:r>
      <w:r>
        <w:fldChar w:fldCharType="end"/>
      </w:r>
      <w:r>
        <w:t>和</w:t>
      </w:r>
      <w:r>
        <w:fldChar w:fldCharType="begin"/>
      </w:r>
      <w:r>
        <w:instrText xml:space="preserve"> HYPERLINK "https://baike.baidu.com/item/%E8%8B%97%E6%97%8F" \t "_blank" </w:instrText>
      </w:r>
      <w:r>
        <w:fldChar w:fldCharType="separate"/>
      </w:r>
      <w:r>
        <w:t>苗族</w:t>
      </w:r>
      <w:r>
        <w:fldChar w:fldCharType="end"/>
      </w:r>
      <w:r>
        <w:t>。</w:t>
      </w:r>
    </w:p>
    <w:p>
      <w:pPr>
        <w:ind w:firstLine="560"/>
      </w:pPr>
      <w:r>
        <w:t>兴安山美，境内地势由西北部以</w:t>
      </w:r>
      <w:r>
        <w:rPr>
          <w:rFonts w:asciiTheme="minorEastAsia" w:hAnsiTheme="minorEastAsia" w:eastAsiaTheme="minorEastAsia"/>
        </w:rPr>
        <w:t>“</w:t>
      </w:r>
      <w:r>
        <w:t>华南第一峰</w:t>
      </w:r>
      <w:r>
        <w:rPr>
          <w:rFonts w:asciiTheme="minorEastAsia" w:hAnsiTheme="minorEastAsia" w:eastAsiaTheme="minorEastAsia"/>
        </w:rPr>
        <w:t>”</w:t>
      </w:r>
      <w:r>
        <w:t>猫儿山为主峰的越城岭山地和东南以盘皇殿为主峰的都庞岭海洋山余脉相对倾斜，形成两大山之间的狭长地带，俗称</w:t>
      </w:r>
      <w:r>
        <w:rPr>
          <w:rFonts w:asciiTheme="minorEastAsia" w:hAnsiTheme="minorEastAsia" w:eastAsiaTheme="minorEastAsia"/>
        </w:rPr>
        <w:t>“</w:t>
      </w:r>
      <w:r>
        <w:t>湘桂走廊</w:t>
      </w:r>
      <w:r>
        <w:rPr>
          <w:rFonts w:asciiTheme="minorEastAsia" w:hAnsiTheme="minorEastAsia" w:eastAsiaTheme="minorEastAsia"/>
        </w:rPr>
        <w:t>”</w:t>
      </w:r>
      <w:r>
        <w:t>。兴安水秀，湘漓二水之源即在境内，湘江北去、漓水南流，且由一条世界上最古老的运河灵渠沟通南北，自古便是岭南与中原地区之间的水路交通要道。习近平总书记在2017年4月视察广西时称赞灵渠说：秦代修建的灵渠，将湘江、漓江的源头相连，在运输、灌溉等方面发挥了很大作用，被誉为世界古代水利建筑明珠</w:t>
      </w:r>
      <w:r>
        <w:rPr>
          <w:rFonts w:hint="eastAsia"/>
        </w:rPr>
        <w:t>。</w:t>
      </w:r>
    </w:p>
    <w:p>
      <w:pPr>
        <w:pStyle w:val="4"/>
        <w:spacing w:before="156" w:after="156"/>
        <w:ind w:firstLine="452"/>
      </w:pPr>
      <w:r>
        <w:rPr>
          <w:rFonts w:hint="eastAsia"/>
        </w:rPr>
        <w:t>（二）经济</w:t>
      </w:r>
      <w:r>
        <w:t>结构</w:t>
      </w:r>
    </w:p>
    <w:p>
      <w:pPr>
        <w:ind w:firstLine="560"/>
      </w:pPr>
      <w:r>
        <w:rPr>
          <w:rFonts w:hint="eastAsia"/>
        </w:rPr>
        <w:t>据初步统计，2018年全县完成地区生产总值同比增长9.2%，规模以上工业总产值同比增长9.6%，固定资产投资同比增长18.4%，财政收入按实际可比口径计算同比增长22.0%，社会消费品零售总额同比增长8.7%，城镇居民人均可支配收入同比增长6.</w:t>
      </w:r>
      <w:r>
        <w:t>3</w:t>
      </w:r>
      <w:r>
        <w:rPr>
          <w:rFonts w:hint="eastAsia"/>
        </w:rPr>
        <w:t>%，农村居民人均可支配收入同比增长</w:t>
      </w:r>
      <w:r>
        <w:t>9.2</w:t>
      </w:r>
      <w:r>
        <w:rPr>
          <w:rFonts w:hint="eastAsia"/>
        </w:rPr>
        <w:t>%。以下为兴安县近年的部分。</w:t>
      </w:r>
    </w:p>
    <w:p>
      <w:pPr>
        <w:ind w:firstLine="560"/>
        <w:rPr>
          <w:color w:val="00B050"/>
        </w:rPr>
      </w:pPr>
    </w:p>
    <w:p>
      <w:pPr>
        <w:ind w:firstLine="562"/>
        <w:jc w:val="center"/>
        <w:rPr>
          <w:rFonts w:ascii="仿宋" w:hAnsi="仿宋"/>
          <w:b/>
          <w:color w:val="000000"/>
          <w:szCs w:val="21"/>
        </w:rPr>
      </w:pPr>
    </w:p>
    <w:p>
      <w:pPr>
        <w:ind w:firstLine="562"/>
        <w:jc w:val="center"/>
        <w:rPr>
          <w:rFonts w:ascii="仿宋" w:hAnsi="仿宋"/>
          <w:b/>
          <w:color w:val="000000"/>
          <w:szCs w:val="21"/>
        </w:rPr>
      </w:pPr>
      <w:r>
        <w:rPr>
          <w:rFonts w:hint="eastAsia" w:ascii="仿宋" w:hAnsi="仿宋"/>
          <w:b/>
          <w:color w:val="000000"/>
          <w:szCs w:val="21"/>
        </w:rPr>
        <w:t>表2</w:t>
      </w:r>
      <w:r>
        <w:rPr>
          <w:rFonts w:ascii="仿宋" w:hAnsi="仿宋"/>
          <w:b/>
          <w:color w:val="000000"/>
          <w:szCs w:val="21"/>
        </w:rPr>
        <w:t xml:space="preserve">-1 </w:t>
      </w:r>
      <w:r>
        <w:rPr>
          <w:rFonts w:hint="eastAsia" w:ascii="仿宋" w:hAnsi="仿宋"/>
          <w:b/>
          <w:color w:val="000000"/>
          <w:szCs w:val="21"/>
        </w:rPr>
        <w:t>兴安县201</w:t>
      </w:r>
      <w:r>
        <w:rPr>
          <w:rFonts w:ascii="仿宋" w:hAnsi="仿宋"/>
          <w:b/>
          <w:color w:val="000000"/>
          <w:szCs w:val="21"/>
        </w:rPr>
        <w:t>4</w:t>
      </w:r>
      <w:r>
        <w:rPr>
          <w:rFonts w:hint="eastAsia" w:ascii="仿宋" w:hAnsi="仿宋"/>
          <w:b/>
          <w:color w:val="000000"/>
          <w:szCs w:val="21"/>
        </w:rPr>
        <w:t>—201</w:t>
      </w:r>
      <w:r>
        <w:rPr>
          <w:rFonts w:ascii="仿宋" w:hAnsi="仿宋"/>
          <w:b/>
          <w:color w:val="000000"/>
          <w:szCs w:val="21"/>
        </w:rPr>
        <w:t>8</w:t>
      </w:r>
      <w:r>
        <w:rPr>
          <w:rFonts w:hint="eastAsia" w:ascii="仿宋" w:hAnsi="仿宋"/>
          <w:b/>
          <w:color w:val="000000"/>
          <w:szCs w:val="21"/>
        </w:rPr>
        <w:t>年部分经济指标</w:t>
      </w:r>
    </w:p>
    <w:tbl>
      <w:tblPr>
        <w:tblStyle w:val="15"/>
        <w:tblW w:w="101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1462"/>
        <w:gridCol w:w="1406"/>
        <w:gridCol w:w="1564"/>
        <w:gridCol w:w="1251"/>
        <w:gridCol w:w="1563"/>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1214" w:type="dxa"/>
            <w:shd w:val="clear" w:color="auto" w:fill="auto"/>
            <w:vAlign w:val="center"/>
          </w:tcPr>
          <w:p>
            <w:pPr>
              <w:spacing w:line="400" w:lineRule="exact"/>
              <w:ind w:firstLine="0" w:firstLineChars="0"/>
              <w:jc w:val="center"/>
              <w:rPr>
                <w:rFonts w:ascii="宋体" w:hAnsi="宋体" w:cs="宋体"/>
                <w:color w:val="000000"/>
                <w:szCs w:val="28"/>
              </w:rPr>
            </w:pPr>
            <w:r>
              <w:rPr>
                <w:rFonts w:hint="eastAsia" w:ascii="宋体" w:hAnsi="宋体" w:cs="宋体"/>
                <w:color w:val="000000"/>
                <w:szCs w:val="28"/>
              </w:rPr>
              <w:t>年份</w:t>
            </w:r>
          </w:p>
        </w:tc>
        <w:tc>
          <w:tcPr>
            <w:tcW w:w="1462" w:type="dxa"/>
            <w:shd w:val="clear" w:color="auto" w:fill="auto"/>
            <w:vAlign w:val="center"/>
          </w:tcPr>
          <w:p>
            <w:pPr>
              <w:spacing w:line="400" w:lineRule="exact"/>
              <w:ind w:firstLine="0" w:firstLineChars="0"/>
              <w:jc w:val="center"/>
              <w:rPr>
                <w:rFonts w:ascii="宋体" w:hAnsi="宋体" w:cs="宋体"/>
                <w:color w:val="000000"/>
                <w:szCs w:val="28"/>
              </w:rPr>
            </w:pPr>
            <w:r>
              <w:rPr>
                <w:rFonts w:hint="eastAsia" w:ascii="宋体" w:hAnsi="宋体" w:cs="宋体"/>
                <w:color w:val="000000"/>
                <w:szCs w:val="28"/>
              </w:rPr>
              <w:t>地区</w:t>
            </w:r>
            <w:r>
              <w:rPr>
                <w:rFonts w:ascii="宋体" w:hAnsi="宋体" w:cs="宋体"/>
                <w:color w:val="000000"/>
                <w:szCs w:val="28"/>
              </w:rPr>
              <w:t>生产总值</w:t>
            </w:r>
          </w:p>
          <w:p>
            <w:pPr>
              <w:spacing w:line="400" w:lineRule="exact"/>
              <w:ind w:firstLine="0" w:firstLineChars="0"/>
              <w:jc w:val="center"/>
              <w:rPr>
                <w:rFonts w:ascii="宋体" w:hAnsi="宋体" w:cs="宋体"/>
                <w:color w:val="000000"/>
                <w:szCs w:val="28"/>
              </w:rPr>
            </w:pPr>
            <w:r>
              <w:rPr>
                <w:rFonts w:ascii="宋体" w:hAnsi="宋体" w:cs="宋体"/>
                <w:color w:val="000000"/>
                <w:szCs w:val="28"/>
              </w:rPr>
              <w:t>（</w:t>
            </w:r>
            <w:r>
              <w:rPr>
                <w:rFonts w:hint="eastAsia" w:ascii="宋体" w:hAnsi="宋体" w:cs="宋体"/>
                <w:color w:val="000000"/>
                <w:szCs w:val="28"/>
              </w:rPr>
              <w:t>亿元</w:t>
            </w:r>
            <w:r>
              <w:rPr>
                <w:rFonts w:ascii="宋体" w:hAnsi="宋体" w:cs="宋体"/>
                <w:color w:val="000000"/>
                <w:szCs w:val="28"/>
              </w:rPr>
              <w:t>）</w:t>
            </w:r>
          </w:p>
        </w:tc>
        <w:tc>
          <w:tcPr>
            <w:tcW w:w="1406" w:type="dxa"/>
            <w:shd w:val="clear" w:color="auto" w:fill="auto"/>
            <w:vAlign w:val="center"/>
          </w:tcPr>
          <w:p>
            <w:pPr>
              <w:spacing w:line="400" w:lineRule="exact"/>
              <w:ind w:firstLine="0" w:firstLineChars="0"/>
              <w:jc w:val="center"/>
              <w:rPr>
                <w:rFonts w:ascii="宋体" w:hAnsi="宋体" w:cs="宋体"/>
                <w:color w:val="000000"/>
                <w:szCs w:val="28"/>
              </w:rPr>
            </w:pPr>
            <w:r>
              <w:rPr>
                <w:rFonts w:hint="eastAsia" w:ascii="宋体" w:hAnsi="宋体" w:cs="宋体"/>
                <w:color w:val="000000"/>
                <w:szCs w:val="28"/>
              </w:rPr>
              <w:t>规模</w:t>
            </w:r>
            <w:r>
              <w:rPr>
                <w:rFonts w:ascii="宋体" w:hAnsi="宋体" w:cs="宋体"/>
                <w:color w:val="000000"/>
                <w:szCs w:val="28"/>
              </w:rPr>
              <w:t>工业总产值</w:t>
            </w:r>
          </w:p>
          <w:p>
            <w:pPr>
              <w:spacing w:line="400" w:lineRule="exact"/>
              <w:ind w:firstLine="0" w:firstLineChars="0"/>
              <w:jc w:val="center"/>
              <w:rPr>
                <w:rFonts w:ascii="宋体" w:hAnsi="宋体" w:cs="宋体"/>
                <w:color w:val="000000"/>
                <w:szCs w:val="28"/>
              </w:rPr>
            </w:pPr>
            <w:r>
              <w:rPr>
                <w:rFonts w:hint="eastAsia" w:ascii="宋体" w:hAnsi="宋体" w:cs="宋体"/>
                <w:color w:val="000000"/>
                <w:szCs w:val="28"/>
              </w:rPr>
              <w:t>（亿元</w:t>
            </w:r>
            <w:r>
              <w:rPr>
                <w:rFonts w:ascii="宋体" w:hAnsi="宋体" w:cs="宋体"/>
                <w:color w:val="000000"/>
                <w:szCs w:val="28"/>
              </w:rPr>
              <w:t>）</w:t>
            </w:r>
          </w:p>
        </w:tc>
        <w:tc>
          <w:tcPr>
            <w:tcW w:w="1564" w:type="dxa"/>
            <w:shd w:val="clear" w:color="auto" w:fill="auto"/>
            <w:vAlign w:val="center"/>
          </w:tcPr>
          <w:p>
            <w:pPr>
              <w:spacing w:line="400" w:lineRule="exact"/>
              <w:ind w:firstLine="0" w:firstLineChars="0"/>
              <w:jc w:val="center"/>
              <w:rPr>
                <w:rFonts w:ascii="宋体" w:hAnsi="宋体" w:cs="宋体"/>
                <w:color w:val="000000"/>
                <w:szCs w:val="28"/>
              </w:rPr>
            </w:pPr>
            <w:r>
              <w:rPr>
                <w:rFonts w:hint="eastAsia" w:ascii="宋体" w:hAnsi="宋体" w:cs="宋体"/>
                <w:color w:val="000000"/>
                <w:szCs w:val="28"/>
              </w:rPr>
              <w:t>社会固定资产投资</w:t>
            </w:r>
            <w:r>
              <w:rPr>
                <w:rFonts w:ascii="宋体" w:hAnsi="宋体" w:cs="宋体"/>
                <w:color w:val="000000"/>
                <w:szCs w:val="28"/>
              </w:rPr>
              <w:t>（</w:t>
            </w:r>
            <w:r>
              <w:rPr>
                <w:rFonts w:hint="eastAsia" w:ascii="宋体" w:hAnsi="宋体" w:cs="宋体"/>
                <w:color w:val="000000"/>
                <w:szCs w:val="28"/>
              </w:rPr>
              <w:t>亿元</w:t>
            </w:r>
            <w:r>
              <w:rPr>
                <w:rFonts w:ascii="宋体" w:hAnsi="宋体" w:cs="宋体"/>
                <w:color w:val="000000"/>
                <w:szCs w:val="28"/>
              </w:rPr>
              <w:t>）</w:t>
            </w:r>
          </w:p>
        </w:tc>
        <w:tc>
          <w:tcPr>
            <w:tcW w:w="1251" w:type="dxa"/>
            <w:shd w:val="clear" w:color="auto" w:fill="auto"/>
            <w:vAlign w:val="center"/>
          </w:tcPr>
          <w:p>
            <w:pPr>
              <w:spacing w:line="400" w:lineRule="exact"/>
              <w:ind w:firstLine="0" w:firstLineChars="0"/>
              <w:jc w:val="center"/>
              <w:rPr>
                <w:rFonts w:ascii="宋体" w:hAnsi="宋体" w:cs="宋体"/>
                <w:color w:val="000000"/>
                <w:szCs w:val="28"/>
              </w:rPr>
            </w:pPr>
            <w:r>
              <w:rPr>
                <w:rFonts w:hint="eastAsia" w:ascii="宋体" w:hAnsi="宋体" w:cs="宋体"/>
                <w:color w:val="000000"/>
                <w:szCs w:val="28"/>
              </w:rPr>
              <w:t>财政收入</w:t>
            </w:r>
            <w:r>
              <w:rPr>
                <w:rFonts w:ascii="宋体" w:hAnsi="宋体" w:cs="宋体"/>
                <w:color w:val="000000"/>
                <w:szCs w:val="28"/>
              </w:rPr>
              <w:t>（</w:t>
            </w:r>
            <w:r>
              <w:rPr>
                <w:rFonts w:hint="eastAsia" w:ascii="宋体" w:hAnsi="宋体" w:cs="宋体"/>
                <w:color w:val="000000"/>
                <w:szCs w:val="28"/>
              </w:rPr>
              <w:t>亿元</w:t>
            </w:r>
            <w:r>
              <w:rPr>
                <w:rFonts w:ascii="宋体" w:hAnsi="宋体" w:cs="宋体"/>
                <w:color w:val="000000"/>
                <w:szCs w:val="28"/>
              </w:rPr>
              <w:t>）</w:t>
            </w:r>
          </w:p>
        </w:tc>
        <w:tc>
          <w:tcPr>
            <w:tcW w:w="1563" w:type="dxa"/>
            <w:shd w:val="clear" w:color="auto" w:fill="auto"/>
            <w:vAlign w:val="center"/>
          </w:tcPr>
          <w:p>
            <w:pPr>
              <w:spacing w:line="400" w:lineRule="exact"/>
              <w:ind w:firstLine="0" w:firstLineChars="0"/>
              <w:jc w:val="center"/>
              <w:rPr>
                <w:rFonts w:ascii="宋体" w:hAnsi="宋体" w:cs="宋体"/>
                <w:color w:val="000000"/>
                <w:szCs w:val="28"/>
              </w:rPr>
            </w:pPr>
            <w:r>
              <w:rPr>
                <w:rFonts w:hint="eastAsia" w:ascii="宋体" w:hAnsi="宋体" w:cs="宋体"/>
                <w:color w:val="000000"/>
                <w:szCs w:val="28"/>
              </w:rPr>
              <w:t>城镇居民</w:t>
            </w:r>
            <w:r>
              <w:rPr>
                <w:rFonts w:ascii="宋体" w:hAnsi="宋体" w:cs="宋体"/>
                <w:color w:val="000000"/>
                <w:szCs w:val="28"/>
              </w:rPr>
              <w:t>人均可支配收入（</w:t>
            </w:r>
            <w:r>
              <w:rPr>
                <w:rFonts w:hint="eastAsia" w:ascii="宋体" w:hAnsi="宋体" w:cs="宋体"/>
                <w:color w:val="000000"/>
                <w:szCs w:val="28"/>
              </w:rPr>
              <w:t>元</w:t>
            </w:r>
            <w:r>
              <w:rPr>
                <w:rFonts w:ascii="宋体" w:hAnsi="宋体" w:cs="宋体"/>
                <w:color w:val="000000"/>
                <w:szCs w:val="28"/>
              </w:rPr>
              <w:t>）</w:t>
            </w:r>
          </w:p>
        </w:tc>
        <w:tc>
          <w:tcPr>
            <w:tcW w:w="1705" w:type="dxa"/>
            <w:shd w:val="clear" w:color="auto" w:fill="auto"/>
            <w:vAlign w:val="center"/>
          </w:tcPr>
          <w:p>
            <w:pPr>
              <w:spacing w:line="400" w:lineRule="exact"/>
              <w:ind w:firstLine="0" w:firstLineChars="0"/>
              <w:jc w:val="center"/>
              <w:rPr>
                <w:rFonts w:ascii="宋体" w:hAnsi="宋体" w:cs="宋体"/>
                <w:color w:val="000000"/>
                <w:szCs w:val="28"/>
              </w:rPr>
            </w:pPr>
            <w:r>
              <w:rPr>
                <w:rFonts w:hint="eastAsia" w:ascii="宋体" w:hAnsi="宋体" w:cs="宋体"/>
                <w:color w:val="000000"/>
                <w:szCs w:val="28"/>
              </w:rPr>
              <w:t>农村居民</w:t>
            </w:r>
            <w:r>
              <w:rPr>
                <w:rFonts w:ascii="宋体" w:hAnsi="宋体" w:cs="宋体"/>
                <w:color w:val="000000"/>
                <w:szCs w:val="28"/>
              </w:rPr>
              <w:t>人均可支配收入（</w:t>
            </w:r>
            <w:r>
              <w:rPr>
                <w:rFonts w:hint="eastAsia" w:ascii="宋体" w:hAnsi="宋体" w:cs="宋体"/>
                <w:color w:val="000000"/>
                <w:szCs w:val="28"/>
              </w:rPr>
              <w:t>元</w:t>
            </w:r>
            <w:r>
              <w:rPr>
                <w:rFonts w:ascii="宋体" w:hAnsi="宋体" w:cs="宋体"/>
                <w:color w:val="000000"/>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214" w:type="dxa"/>
            <w:shd w:val="clear" w:color="auto" w:fill="auto"/>
            <w:vAlign w:val="center"/>
          </w:tcPr>
          <w:p>
            <w:pPr>
              <w:ind w:firstLine="0" w:firstLineChars="0"/>
              <w:rPr>
                <w:rFonts w:ascii="宋体" w:hAnsi="宋体" w:cs="宋体"/>
                <w:color w:val="000000"/>
                <w:szCs w:val="28"/>
              </w:rPr>
            </w:pPr>
            <w:r>
              <w:rPr>
                <w:rFonts w:hint="eastAsia" w:ascii="宋体" w:hAnsi="宋体" w:cs="宋体"/>
                <w:color w:val="000000"/>
                <w:szCs w:val="28"/>
              </w:rPr>
              <w:t>201</w:t>
            </w:r>
            <w:r>
              <w:rPr>
                <w:rFonts w:ascii="宋体" w:hAnsi="宋体" w:cs="宋体"/>
                <w:color w:val="000000"/>
                <w:szCs w:val="28"/>
              </w:rPr>
              <w:t>4</w:t>
            </w:r>
            <w:r>
              <w:rPr>
                <w:rFonts w:hint="eastAsia" w:ascii="宋体" w:hAnsi="宋体" w:cs="宋体"/>
                <w:color w:val="000000"/>
                <w:szCs w:val="28"/>
              </w:rPr>
              <w:t>年</w:t>
            </w:r>
          </w:p>
        </w:tc>
        <w:tc>
          <w:tcPr>
            <w:tcW w:w="1462" w:type="dxa"/>
            <w:shd w:val="clear" w:color="auto" w:fill="auto"/>
            <w:vAlign w:val="center"/>
          </w:tcPr>
          <w:p>
            <w:pPr>
              <w:ind w:firstLine="0" w:firstLineChars="0"/>
              <w:jc w:val="center"/>
              <w:rPr>
                <w:rFonts w:ascii="宋体" w:hAnsi="宋体" w:cs="宋体"/>
                <w:color w:val="000000"/>
                <w:szCs w:val="28"/>
              </w:rPr>
            </w:pPr>
            <w:r>
              <w:rPr>
                <w:rFonts w:hint="eastAsia" w:ascii="宋体" w:hAnsi="宋体" w:cs="宋体"/>
                <w:color w:val="000000"/>
                <w:szCs w:val="28"/>
              </w:rPr>
              <w:t>146.17</w:t>
            </w:r>
          </w:p>
        </w:tc>
        <w:tc>
          <w:tcPr>
            <w:tcW w:w="1406" w:type="dxa"/>
            <w:shd w:val="clear" w:color="auto" w:fill="auto"/>
            <w:vAlign w:val="center"/>
          </w:tcPr>
          <w:p>
            <w:pPr>
              <w:ind w:firstLine="0" w:firstLineChars="0"/>
              <w:jc w:val="center"/>
              <w:rPr>
                <w:rFonts w:ascii="宋体" w:hAnsi="宋体" w:cs="宋体"/>
                <w:color w:val="000000"/>
                <w:szCs w:val="28"/>
              </w:rPr>
            </w:pPr>
            <w:r>
              <w:rPr>
                <w:rFonts w:hint="eastAsia" w:ascii="宋体" w:hAnsi="宋体" w:cs="宋体"/>
                <w:color w:val="000000"/>
                <w:szCs w:val="28"/>
              </w:rPr>
              <w:t>179.51</w:t>
            </w:r>
          </w:p>
        </w:tc>
        <w:tc>
          <w:tcPr>
            <w:tcW w:w="1564" w:type="dxa"/>
            <w:shd w:val="clear" w:color="auto" w:fill="auto"/>
            <w:vAlign w:val="center"/>
          </w:tcPr>
          <w:p>
            <w:pPr>
              <w:ind w:firstLine="0" w:firstLineChars="0"/>
              <w:jc w:val="center"/>
              <w:rPr>
                <w:rFonts w:ascii="宋体" w:hAnsi="宋体" w:cs="宋体"/>
                <w:color w:val="000000"/>
                <w:szCs w:val="28"/>
              </w:rPr>
            </w:pPr>
            <w:r>
              <w:rPr>
                <w:rFonts w:hint="eastAsia" w:ascii="宋体" w:hAnsi="宋体" w:cs="宋体"/>
                <w:color w:val="000000"/>
                <w:szCs w:val="28"/>
              </w:rPr>
              <w:t>161.2</w:t>
            </w:r>
          </w:p>
        </w:tc>
        <w:tc>
          <w:tcPr>
            <w:tcW w:w="1251" w:type="dxa"/>
            <w:shd w:val="clear" w:color="auto" w:fill="auto"/>
            <w:vAlign w:val="center"/>
          </w:tcPr>
          <w:p>
            <w:pPr>
              <w:ind w:firstLine="0" w:firstLineChars="0"/>
              <w:jc w:val="center"/>
              <w:rPr>
                <w:rFonts w:ascii="宋体" w:hAnsi="宋体" w:cs="宋体"/>
                <w:color w:val="000000"/>
                <w:szCs w:val="28"/>
              </w:rPr>
            </w:pPr>
            <w:r>
              <w:rPr>
                <w:rFonts w:hint="eastAsia" w:ascii="宋体" w:hAnsi="宋体" w:cs="宋体"/>
                <w:color w:val="000000"/>
                <w:szCs w:val="28"/>
              </w:rPr>
              <w:t>13.31</w:t>
            </w:r>
          </w:p>
        </w:tc>
        <w:tc>
          <w:tcPr>
            <w:tcW w:w="1563" w:type="dxa"/>
            <w:shd w:val="clear" w:color="auto" w:fill="auto"/>
            <w:vAlign w:val="center"/>
          </w:tcPr>
          <w:p>
            <w:pPr>
              <w:ind w:firstLine="0" w:firstLineChars="0"/>
              <w:jc w:val="center"/>
              <w:rPr>
                <w:rFonts w:ascii="宋体" w:hAnsi="宋体" w:cs="宋体"/>
                <w:color w:val="000000"/>
                <w:szCs w:val="28"/>
              </w:rPr>
            </w:pPr>
            <w:r>
              <w:rPr>
                <w:rFonts w:hint="eastAsia" w:ascii="宋体" w:hAnsi="宋体" w:cs="宋体"/>
                <w:color w:val="000000"/>
                <w:szCs w:val="28"/>
              </w:rPr>
              <w:t>27146</w:t>
            </w:r>
          </w:p>
        </w:tc>
        <w:tc>
          <w:tcPr>
            <w:tcW w:w="1705" w:type="dxa"/>
            <w:shd w:val="clear" w:color="auto" w:fill="auto"/>
            <w:vAlign w:val="center"/>
          </w:tcPr>
          <w:p>
            <w:pPr>
              <w:ind w:firstLine="0" w:firstLineChars="0"/>
              <w:jc w:val="center"/>
              <w:rPr>
                <w:rFonts w:ascii="宋体" w:hAnsi="宋体" w:cs="宋体"/>
                <w:color w:val="000000"/>
                <w:szCs w:val="28"/>
              </w:rPr>
            </w:pPr>
            <w:r>
              <w:rPr>
                <w:rFonts w:hint="eastAsia" w:ascii="宋体" w:hAnsi="宋体" w:cs="宋体"/>
                <w:color w:val="000000"/>
                <w:szCs w:val="28"/>
              </w:rPr>
              <w:t>11726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214" w:type="dxa"/>
            <w:shd w:val="clear" w:color="auto" w:fill="auto"/>
            <w:vAlign w:val="center"/>
          </w:tcPr>
          <w:p>
            <w:pPr>
              <w:ind w:firstLine="0" w:firstLineChars="0"/>
              <w:rPr>
                <w:rFonts w:ascii="宋体" w:hAnsi="宋体" w:cs="宋体"/>
                <w:color w:val="000000"/>
                <w:szCs w:val="28"/>
              </w:rPr>
            </w:pPr>
            <w:r>
              <w:rPr>
                <w:rFonts w:hint="eastAsia" w:ascii="宋体" w:hAnsi="宋体" w:cs="宋体"/>
                <w:color w:val="000000"/>
                <w:szCs w:val="28"/>
              </w:rPr>
              <w:t>201</w:t>
            </w:r>
            <w:r>
              <w:rPr>
                <w:rFonts w:ascii="宋体" w:hAnsi="宋体" w:cs="宋体"/>
                <w:color w:val="000000"/>
                <w:szCs w:val="28"/>
              </w:rPr>
              <w:t>5</w:t>
            </w:r>
            <w:r>
              <w:rPr>
                <w:rFonts w:hint="eastAsia" w:ascii="宋体" w:hAnsi="宋体" w:cs="宋体"/>
                <w:color w:val="000000"/>
                <w:szCs w:val="28"/>
              </w:rPr>
              <w:t>年</w:t>
            </w:r>
          </w:p>
        </w:tc>
        <w:tc>
          <w:tcPr>
            <w:tcW w:w="1462" w:type="dxa"/>
            <w:shd w:val="clear" w:color="auto" w:fill="auto"/>
            <w:vAlign w:val="center"/>
          </w:tcPr>
          <w:p>
            <w:pPr>
              <w:ind w:firstLine="0" w:firstLineChars="0"/>
              <w:jc w:val="center"/>
              <w:rPr>
                <w:rFonts w:ascii="宋体" w:hAnsi="宋体" w:cs="宋体"/>
                <w:color w:val="000000"/>
                <w:szCs w:val="28"/>
              </w:rPr>
            </w:pPr>
            <w:r>
              <w:rPr>
                <w:rFonts w:hint="eastAsia" w:ascii="宋体" w:hAnsi="宋体" w:cs="宋体"/>
                <w:color w:val="000000"/>
                <w:szCs w:val="28"/>
              </w:rPr>
              <w:t>148.13</w:t>
            </w:r>
          </w:p>
        </w:tc>
        <w:tc>
          <w:tcPr>
            <w:tcW w:w="1406" w:type="dxa"/>
            <w:shd w:val="clear" w:color="auto" w:fill="auto"/>
            <w:vAlign w:val="center"/>
          </w:tcPr>
          <w:p>
            <w:pPr>
              <w:ind w:firstLine="0" w:firstLineChars="0"/>
              <w:jc w:val="center"/>
              <w:rPr>
                <w:rFonts w:ascii="宋体" w:hAnsi="宋体" w:cs="宋体"/>
                <w:color w:val="000000"/>
                <w:szCs w:val="28"/>
              </w:rPr>
            </w:pPr>
            <w:r>
              <w:rPr>
                <w:rFonts w:hint="eastAsia" w:ascii="宋体" w:hAnsi="宋体" w:cs="宋体"/>
                <w:color w:val="000000"/>
                <w:szCs w:val="28"/>
              </w:rPr>
              <w:t>213.3</w:t>
            </w:r>
          </w:p>
        </w:tc>
        <w:tc>
          <w:tcPr>
            <w:tcW w:w="1564" w:type="dxa"/>
            <w:shd w:val="clear" w:color="auto" w:fill="auto"/>
            <w:vAlign w:val="center"/>
          </w:tcPr>
          <w:p>
            <w:pPr>
              <w:ind w:firstLine="0" w:firstLineChars="0"/>
              <w:jc w:val="center"/>
              <w:rPr>
                <w:rFonts w:ascii="宋体" w:hAnsi="宋体" w:cs="宋体"/>
                <w:color w:val="000000"/>
                <w:szCs w:val="28"/>
              </w:rPr>
            </w:pPr>
            <w:r>
              <w:rPr>
                <w:rFonts w:hint="eastAsia" w:ascii="宋体" w:hAnsi="宋体" w:cs="宋体"/>
                <w:color w:val="000000"/>
                <w:szCs w:val="28"/>
              </w:rPr>
              <w:t>189.7</w:t>
            </w:r>
          </w:p>
        </w:tc>
        <w:tc>
          <w:tcPr>
            <w:tcW w:w="1251" w:type="dxa"/>
            <w:shd w:val="clear" w:color="auto" w:fill="auto"/>
            <w:vAlign w:val="center"/>
          </w:tcPr>
          <w:p>
            <w:pPr>
              <w:ind w:firstLine="0" w:firstLineChars="0"/>
              <w:jc w:val="center"/>
              <w:rPr>
                <w:rFonts w:ascii="宋体" w:hAnsi="宋体" w:cs="宋体"/>
                <w:color w:val="000000"/>
                <w:szCs w:val="28"/>
              </w:rPr>
            </w:pPr>
            <w:r>
              <w:rPr>
                <w:rFonts w:hint="eastAsia" w:ascii="宋体" w:hAnsi="宋体" w:cs="宋体"/>
                <w:color w:val="000000"/>
                <w:szCs w:val="28"/>
              </w:rPr>
              <w:t>12.04</w:t>
            </w:r>
          </w:p>
        </w:tc>
        <w:tc>
          <w:tcPr>
            <w:tcW w:w="1563" w:type="dxa"/>
            <w:shd w:val="clear" w:color="auto" w:fill="auto"/>
            <w:vAlign w:val="center"/>
          </w:tcPr>
          <w:p>
            <w:pPr>
              <w:ind w:firstLine="0" w:firstLineChars="0"/>
              <w:jc w:val="center"/>
              <w:rPr>
                <w:rFonts w:ascii="宋体" w:hAnsi="宋体" w:cs="宋体"/>
                <w:color w:val="000000"/>
                <w:szCs w:val="28"/>
              </w:rPr>
            </w:pPr>
            <w:r>
              <w:rPr>
                <w:rFonts w:hint="eastAsia" w:ascii="宋体" w:hAnsi="宋体" w:cs="宋体"/>
                <w:color w:val="000000"/>
                <w:szCs w:val="28"/>
              </w:rPr>
              <w:t>29318</w:t>
            </w:r>
          </w:p>
        </w:tc>
        <w:tc>
          <w:tcPr>
            <w:tcW w:w="1705" w:type="dxa"/>
            <w:shd w:val="clear" w:color="auto" w:fill="auto"/>
            <w:vAlign w:val="center"/>
          </w:tcPr>
          <w:p>
            <w:pPr>
              <w:ind w:firstLine="0" w:firstLineChars="0"/>
              <w:jc w:val="center"/>
              <w:rPr>
                <w:rFonts w:ascii="宋体" w:hAnsi="宋体" w:cs="宋体"/>
                <w:color w:val="000000"/>
                <w:szCs w:val="28"/>
              </w:rPr>
            </w:pPr>
            <w:r>
              <w:rPr>
                <w:rFonts w:hint="eastAsia" w:ascii="宋体" w:hAnsi="宋体" w:cs="宋体"/>
                <w:color w:val="000000"/>
                <w:szCs w:val="28"/>
              </w:rPr>
              <w:t>12852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214" w:type="dxa"/>
            <w:shd w:val="clear" w:color="auto" w:fill="auto"/>
            <w:vAlign w:val="center"/>
          </w:tcPr>
          <w:p>
            <w:pPr>
              <w:ind w:firstLine="0" w:firstLineChars="0"/>
              <w:rPr>
                <w:rFonts w:ascii="宋体" w:hAnsi="宋体" w:cs="宋体"/>
                <w:color w:val="000000"/>
                <w:szCs w:val="28"/>
              </w:rPr>
            </w:pPr>
            <w:r>
              <w:rPr>
                <w:rFonts w:hint="eastAsia" w:ascii="宋体" w:hAnsi="宋体" w:cs="宋体"/>
                <w:color w:val="000000"/>
                <w:szCs w:val="28"/>
              </w:rPr>
              <w:t>201</w:t>
            </w:r>
            <w:r>
              <w:rPr>
                <w:rFonts w:ascii="宋体" w:hAnsi="宋体" w:cs="宋体"/>
                <w:color w:val="000000"/>
                <w:szCs w:val="28"/>
              </w:rPr>
              <w:t>6</w:t>
            </w:r>
            <w:r>
              <w:rPr>
                <w:rFonts w:hint="eastAsia" w:ascii="宋体" w:hAnsi="宋体" w:cs="宋体"/>
                <w:color w:val="000000"/>
                <w:szCs w:val="28"/>
              </w:rPr>
              <w:t>年</w:t>
            </w:r>
          </w:p>
        </w:tc>
        <w:tc>
          <w:tcPr>
            <w:tcW w:w="1462" w:type="dxa"/>
            <w:shd w:val="clear" w:color="auto" w:fill="auto"/>
            <w:vAlign w:val="center"/>
          </w:tcPr>
          <w:p>
            <w:pPr>
              <w:ind w:firstLine="0" w:firstLineChars="0"/>
              <w:jc w:val="center"/>
              <w:rPr>
                <w:rFonts w:ascii="宋体" w:hAnsi="宋体" w:cs="宋体"/>
                <w:color w:val="000000"/>
                <w:szCs w:val="28"/>
              </w:rPr>
            </w:pPr>
            <w:r>
              <w:rPr>
                <w:rFonts w:hint="eastAsia" w:ascii="宋体" w:hAnsi="宋体" w:cs="宋体"/>
                <w:color w:val="000000"/>
                <w:szCs w:val="28"/>
              </w:rPr>
              <w:t>150.43</w:t>
            </w:r>
          </w:p>
        </w:tc>
        <w:tc>
          <w:tcPr>
            <w:tcW w:w="1406" w:type="dxa"/>
            <w:shd w:val="clear" w:color="auto" w:fill="auto"/>
            <w:vAlign w:val="center"/>
          </w:tcPr>
          <w:p>
            <w:pPr>
              <w:ind w:firstLine="0" w:firstLineChars="0"/>
              <w:jc w:val="center"/>
              <w:rPr>
                <w:rFonts w:ascii="宋体" w:hAnsi="宋体" w:cs="宋体"/>
                <w:color w:val="000000"/>
                <w:szCs w:val="28"/>
              </w:rPr>
            </w:pPr>
            <w:r>
              <w:rPr>
                <w:rFonts w:hint="eastAsia" w:ascii="宋体" w:hAnsi="宋体" w:cs="宋体"/>
                <w:color w:val="000000"/>
                <w:szCs w:val="28"/>
              </w:rPr>
              <w:t>——</w:t>
            </w:r>
          </w:p>
        </w:tc>
        <w:tc>
          <w:tcPr>
            <w:tcW w:w="1564" w:type="dxa"/>
            <w:shd w:val="clear" w:color="auto" w:fill="auto"/>
            <w:vAlign w:val="center"/>
          </w:tcPr>
          <w:p>
            <w:pPr>
              <w:ind w:firstLine="0" w:firstLineChars="0"/>
              <w:jc w:val="center"/>
              <w:rPr>
                <w:rFonts w:ascii="宋体" w:hAnsi="宋体" w:cs="宋体"/>
                <w:color w:val="000000"/>
                <w:szCs w:val="28"/>
              </w:rPr>
            </w:pPr>
            <w:r>
              <w:rPr>
                <w:rFonts w:hint="eastAsia" w:ascii="宋体" w:hAnsi="宋体" w:cs="宋体"/>
                <w:color w:val="000000"/>
                <w:szCs w:val="28"/>
              </w:rPr>
              <w:t>194.4</w:t>
            </w:r>
          </w:p>
        </w:tc>
        <w:tc>
          <w:tcPr>
            <w:tcW w:w="1251" w:type="dxa"/>
            <w:shd w:val="clear" w:color="auto" w:fill="auto"/>
            <w:vAlign w:val="center"/>
          </w:tcPr>
          <w:p>
            <w:pPr>
              <w:ind w:firstLine="0" w:firstLineChars="0"/>
              <w:jc w:val="center"/>
              <w:rPr>
                <w:rFonts w:ascii="宋体" w:hAnsi="宋体" w:cs="宋体"/>
                <w:color w:val="000000"/>
                <w:szCs w:val="28"/>
              </w:rPr>
            </w:pPr>
            <w:r>
              <w:rPr>
                <w:rFonts w:hint="eastAsia" w:ascii="宋体" w:hAnsi="宋体" w:cs="宋体"/>
                <w:color w:val="000000"/>
                <w:szCs w:val="28"/>
              </w:rPr>
              <w:t>12.36</w:t>
            </w:r>
          </w:p>
        </w:tc>
        <w:tc>
          <w:tcPr>
            <w:tcW w:w="1563" w:type="dxa"/>
            <w:shd w:val="clear" w:color="auto" w:fill="auto"/>
            <w:vAlign w:val="center"/>
          </w:tcPr>
          <w:p>
            <w:pPr>
              <w:ind w:firstLine="0" w:firstLineChars="0"/>
              <w:jc w:val="center"/>
              <w:rPr>
                <w:rFonts w:ascii="宋体" w:hAnsi="宋体" w:cs="宋体"/>
                <w:color w:val="000000"/>
                <w:szCs w:val="28"/>
              </w:rPr>
            </w:pPr>
            <w:r>
              <w:rPr>
                <w:rFonts w:hint="eastAsia" w:ascii="宋体" w:hAnsi="宋体" w:cs="宋体"/>
                <w:color w:val="000000"/>
                <w:szCs w:val="28"/>
              </w:rPr>
              <w:t>30671</w:t>
            </w:r>
          </w:p>
        </w:tc>
        <w:tc>
          <w:tcPr>
            <w:tcW w:w="1705" w:type="dxa"/>
            <w:shd w:val="clear" w:color="auto" w:fill="auto"/>
            <w:vAlign w:val="center"/>
          </w:tcPr>
          <w:p>
            <w:pPr>
              <w:ind w:firstLine="0" w:firstLineChars="0"/>
              <w:jc w:val="center"/>
              <w:rPr>
                <w:rFonts w:ascii="宋体" w:hAnsi="宋体" w:cs="宋体"/>
                <w:color w:val="000000"/>
                <w:szCs w:val="28"/>
              </w:rPr>
            </w:pPr>
            <w:r>
              <w:rPr>
                <w:rFonts w:hint="eastAsia" w:ascii="宋体" w:hAnsi="宋体" w:cs="宋体"/>
                <w:color w:val="000000"/>
                <w:szCs w:val="28"/>
              </w:rPr>
              <w:t>14584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214" w:type="dxa"/>
            <w:shd w:val="clear" w:color="auto" w:fill="auto"/>
            <w:vAlign w:val="center"/>
          </w:tcPr>
          <w:p>
            <w:pPr>
              <w:ind w:firstLine="0" w:firstLineChars="0"/>
              <w:rPr>
                <w:rFonts w:ascii="宋体" w:hAnsi="宋体" w:cs="宋体"/>
                <w:color w:val="000000"/>
                <w:szCs w:val="28"/>
              </w:rPr>
            </w:pPr>
            <w:r>
              <w:rPr>
                <w:rFonts w:hint="eastAsia" w:ascii="宋体" w:hAnsi="宋体" w:cs="宋体"/>
                <w:color w:val="000000"/>
                <w:szCs w:val="28"/>
              </w:rPr>
              <w:t>201</w:t>
            </w:r>
            <w:r>
              <w:rPr>
                <w:rFonts w:ascii="宋体" w:hAnsi="宋体" w:cs="宋体"/>
                <w:color w:val="000000"/>
                <w:szCs w:val="28"/>
              </w:rPr>
              <w:t>7</w:t>
            </w:r>
            <w:r>
              <w:rPr>
                <w:rFonts w:hint="eastAsia" w:ascii="宋体" w:hAnsi="宋体" w:cs="宋体"/>
                <w:color w:val="000000"/>
                <w:szCs w:val="28"/>
              </w:rPr>
              <w:t>年</w:t>
            </w:r>
          </w:p>
        </w:tc>
        <w:tc>
          <w:tcPr>
            <w:tcW w:w="1462" w:type="dxa"/>
            <w:shd w:val="clear" w:color="auto" w:fill="auto"/>
            <w:vAlign w:val="center"/>
          </w:tcPr>
          <w:p>
            <w:pPr>
              <w:ind w:firstLine="0" w:firstLineChars="0"/>
              <w:jc w:val="center"/>
              <w:rPr>
                <w:rFonts w:ascii="宋体" w:hAnsi="宋体" w:cs="宋体"/>
                <w:color w:val="000000"/>
                <w:szCs w:val="28"/>
              </w:rPr>
            </w:pPr>
            <w:r>
              <w:rPr>
                <w:rFonts w:hint="eastAsia" w:ascii="宋体" w:hAnsi="宋体" w:cs="宋体"/>
                <w:color w:val="000000"/>
                <w:szCs w:val="28"/>
              </w:rPr>
              <w:t>136.07</w:t>
            </w:r>
          </w:p>
        </w:tc>
        <w:tc>
          <w:tcPr>
            <w:tcW w:w="1406" w:type="dxa"/>
            <w:shd w:val="clear" w:color="auto" w:fill="auto"/>
            <w:vAlign w:val="center"/>
          </w:tcPr>
          <w:p>
            <w:pPr>
              <w:ind w:firstLine="0" w:firstLineChars="0"/>
              <w:jc w:val="center"/>
              <w:rPr>
                <w:rFonts w:ascii="宋体" w:hAnsi="宋体" w:cs="宋体"/>
                <w:color w:val="000000"/>
                <w:szCs w:val="28"/>
              </w:rPr>
            </w:pPr>
            <w:r>
              <w:rPr>
                <w:rFonts w:hint="eastAsia" w:ascii="宋体" w:hAnsi="宋体" w:cs="宋体"/>
                <w:color w:val="000000"/>
                <w:szCs w:val="28"/>
              </w:rPr>
              <w:t>111.69</w:t>
            </w:r>
          </w:p>
        </w:tc>
        <w:tc>
          <w:tcPr>
            <w:tcW w:w="1564" w:type="dxa"/>
            <w:shd w:val="clear" w:color="auto" w:fill="auto"/>
            <w:vAlign w:val="center"/>
          </w:tcPr>
          <w:p>
            <w:pPr>
              <w:ind w:firstLine="0" w:firstLineChars="0"/>
              <w:jc w:val="center"/>
              <w:rPr>
                <w:rFonts w:ascii="宋体" w:hAnsi="宋体" w:cs="宋体"/>
                <w:color w:val="000000"/>
                <w:szCs w:val="28"/>
              </w:rPr>
            </w:pPr>
            <w:r>
              <w:rPr>
                <w:rFonts w:hint="eastAsia" w:ascii="宋体" w:hAnsi="宋体" w:cs="宋体"/>
                <w:color w:val="000000"/>
                <w:szCs w:val="28"/>
              </w:rPr>
              <w:t>217.72</w:t>
            </w:r>
          </w:p>
        </w:tc>
        <w:tc>
          <w:tcPr>
            <w:tcW w:w="1251" w:type="dxa"/>
            <w:shd w:val="clear" w:color="auto" w:fill="auto"/>
            <w:vAlign w:val="center"/>
          </w:tcPr>
          <w:p>
            <w:pPr>
              <w:ind w:firstLine="0" w:firstLineChars="0"/>
              <w:jc w:val="center"/>
              <w:rPr>
                <w:rFonts w:ascii="宋体" w:hAnsi="宋体" w:cs="宋体"/>
                <w:color w:val="000000"/>
                <w:szCs w:val="28"/>
              </w:rPr>
            </w:pPr>
            <w:r>
              <w:rPr>
                <w:rFonts w:hint="eastAsia" w:ascii="宋体" w:hAnsi="宋体" w:cs="宋体"/>
                <w:color w:val="000000"/>
                <w:szCs w:val="28"/>
              </w:rPr>
              <w:t>12.71</w:t>
            </w:r>
          </w:p>
        </w:tc>
        <w:tc>
          <w:tcPr>
            <w:tcW w:w="1563" w:type="dxa"/>
            <w:shd w:val="clear" w:color="auto" w:fill="auto"/>
            <w:vAlign w:val="center"/>
          </w:tcPr>
          <w:p>
            <w:pPr>
              <w:ind w:firstLine="0" w:firstLineChars="0"/>
              <w:jc w:val="center"/>
              <w:rPr>
                <w:rFonts w:ascii="宋体" w:hAnsi="宋体" w:cs="宋体"/>
                <w:color w:val="000000"/>
                <w:szCs w:val="28"/>
              </w:rPr>
            </w:pPr>
            <w:r>
              <w:rPr>
                <w:rFonts w:hint="eastAsia" w:ascii="宋体" w:hAnsi="宋体" w:cs="宋体"/>
                <w:color w:val="000000"/>
                <w:szCs w:val="28"/>
              </w:rPr>
              <w:t>32879</w:t>
            </w:r>
          </w:p>
        </w:tc>
        <w:tc>
          <w:tcPr>
            <w:tcW w:w="1705" w:type="dxa"/>
            <w:shd w:val="clear" w:color="auto" w:fill="auto"/>
            <w:vAlign w:val="center"/>
          </w:tcPr>
          <w:p>
            <w:pPr>
              <w:ind w:firstLine="0" w:firstLineChars="0"/>
              <w:jc w:val="center"/>
              <w:rPr>
                <w:rFonts w:ascii="宋体" w:hAnsi="宋体" w:cs="宋体"/>
                <w:color w:val="000000"/>
                <w:szCs w:val="28"/>
              </w:rPr>
            </w:pPr>
            <w:r>
              <w:rPr>
                <w:rFonts w:hint="eastAsia" w:ascii="宋体" w:hAnsi="宋体" w:cs="宋体"/>
                <w:color w:val="000000"/>
                <w:szCs w:val="28"/>
              </w:rPr>
              <w:t>15911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214" w:type="dxa"/>
            <w:shd w:val="clear" w:color="auto" w:fill="auto"/>
            <w:vAlign w:val="center"/>
          </w:tcPr>
          <w:p>
            <w:pPr>
              <w:ind w:firstLine="0" w:firstLineChars="0"/>
              <w:rPr>
                <w:rFonts w:ascii="宋体" w:hAnsi="宋体" w:cs="宋体"/>
                <w:szCs w:val="28"/>
              </w:rPr>
            </w:pPr>
            <w:r>
              <w:rPr>
                <w:rFonts w:hint="eastAsia" w:ascii="宋体" w:hAnsi="宋体" w:cs="宋体"/>
                <w:szCs w:val="28"/>
              </w:rPr>
              <w:t>2018年</w:t>
            </w:r>
          </w:p>
        </w:tc>
        <w:tc>
          <w:tcPr>
            <w:tcW w:w="1462" w:type="dxa"/>
            <w:shd w:val="clear" w:color="auto" w:fill="auto"/>
            <w:vAlign w:val="center"/>
          </w:tcPr>
          <w:p>
            <w:pPr>
              <w:ind w:firstLine="0" w:firstLineChars="0"/>
              <w:jc w:val="center"/>
              <w:rPr>
                <w:rFonts w:ascii="宋体" w:hAnsi="宋体" w:cs="宋体"/>
                <w:szCs w:val="28"/>
              </w:rPr>
            </w:pPr>
            <w:r>
              <w:rPr>
                <w:rFonts w:hint="eastAsia" w:ascii="宋体" w:hAnsi="宋体" w:cs="宋体"/>
                <w:szCs w:val="28"/>
              </w:rPr>
              <w:t>148.</w:t>
            </w:r>
            <w:r>
              <w:rPr>
                <w:rFonts w:ascii="宋体" w:hAnsi="宋体" w:cs="宋体"/>
                <w:szCs w:val="28"/>
              </w:rPr>
              <w:t>59</w:t>
            </w:r>
          </w:p>
        </w:tc>
        <w:tc>
          <w:tcPr>
            <w:tcW w:w="1406" w:type="dxa"/>
            <w:shd w:val="clear" w:color="auto" w:fill="auto"/>
            <w:vAlign w:val="center"/>
          </w:tcPr>
          <w:p>
            <w:pPr>
              <w:ind w:firstLine="0" w:firstLineChars="0"/>
              <w:jc w:val="center"/>
              <w:rPr>
                <w:rFonts w:ascii="宋体" w:hAnsi="宋体" w:cs="宋体"/>
                <w:szCs w:val="28"/>
              </w:rPr>
            </w:pPr>
            <w:r>
              <w:rPr>
                <w:rFonts w:hint="eastAsia" w:ascii="宋体" w:hAnsi="宋体" w:cs="宋体"/>
                <w:szCs w:val="28"/>
              </w:rPr>
              <w:t>122.41</w:t>
            </w:r>
          </w:p>
        </w:tc>
        <w:tc>
          <w:tcPr>
            <w:tcW w:w="1564" w:type="dxa"/>
            <w:shd w:val="clear" w:color="auto" w:fill="auto"/>
            <w:vAlign w:val="center"/>
          </w:tcPr>
          <w:p>
            <w:pPr>
              <w:ind w:firstLine="0" w:firstLineChars="0"/>
              <w:jc w:val="center"/>
              <w:rPr>
                <w:rFonts w:ascii="宋体" w:hAnsi="宋体" w:cs="宋体"/>
                <w:szCs w:val="28"/>
              </w:rPr>
            </w:pPr>
            <w:r>
              <w:rPr>
                <w:rFonts w:hint="eastAsia" w:ascii="宋体" w:hAnsi="宋体" w:cs="宋体"/>
                <w:szCs w:val="28"/>
              </w:rPr>
              <w:t>257.78</w:t>
            </w:r>
          </w:p>
        </w:tc>
        <w:tc>
          <w:tcPr>
            <w:tcW w:w="1251" w:type="dxa"/>
            <w:shd w:val="clear" w:color="auto" w:fill="auto"/>
            <w:vAlign w:val="center"/>
          </w:tcPr>
          <w:p>
            <w:pPr>
              <w:ind w:firstLine="0" w:firstLineChars="0"/>
              <w:jc w:val="center"/>
              <w:rPr>
                <w:rFonts w:ascii="宋体" w:hAnsi="宋体" w:cs="宋体"/>
                <w:szCs w:val="28"/>
              </w:rPr>
            </w:pPr>
            <w:r>
              <w:rPr>
                <w:rFonts w:hint="eastAsia" w:ascii="宋体" w:hAnsi="宋体" w:cs="宋体"/>
                <w:szCs w:val="28"/>
              </w:rPr>
              <w:t>15.51</w:t>
            </w:r>
          </w:p>
        </w:tc>
        <w:tc>
          <w:tcPr>
            <w:tcW w:w="1563" w:type="dxa"/>
            <w:shd w:val="clear" w:color="auto" w:fill="auto"/>
            <w:vAlign w:val="center"/>
          </w:tcPr>
          <w:p>
            <w:pPr>
              <w:ind w:firstLine="0" w:firstLineChars="0"/>
              <w:jc w:val="center"/>
              <w:rPr>
                <w:rFonts w:ascii="宋体" w:hAnsi="宋体" w:cs="宋体"/>
                <w:szCs w:val="28"/>
              </w:rPr>
            </w:pPr>
            <w:r>
              <w:rPr>
                <w:rFonts w:hint="eastAsia" w:ascii="宋体" w:hAnsi="宋体" w:cs="宋体"/>
                <w:szCs w:val="28"/>
              </w:rPr>
              <w:t>34950</w:t>
            </w:r>
          </w:p>
        </w:tc>
        <w:tc>
          <w:tcPr>
            <w:tcW w:w="1705" w:type="dxa"/>
            <w:shd w:val="clear" w:color="auto" w:fill="auto"/>
            <w:vAlign w:val="center"/>
          </w:tcPr>
          <w:p>
            <w:pPr>
              <w:ind w:firstLine="0" w:firstLineChars="0"/>
              <w:jc w:val="center"/>
              <w:rPr>
                <w:rFonts w:ascii="宋体" w:hAnsi="宋体" w:cs="宋体"/>
                <w:color w:val="000000"/>
                <w:szCs w:val="28"/>
              </w:rPr>
            </w:pPr>
            <w:r>
              <w:rPr>
                <w:rFonts w:hint="eastAsia" w:ascii="宋体" w:hAnsi="宋体" w:cs="宋体"/>
                <w:color w:val="000000"/>
                <w:szCs w:val="28"/>
              </w:rPr>
              <w:t>17391</w:t>
            </w:r>
          </w:p>
        </w:tc>
      </w:tr>
    </w:tbl>
    <w:p>
      <w:pPr>
        <w:ind w:firstLine="560"/>
      </w:pPr>
      <w:r>
        <w:rPr>
          <w:rFonts w:hint="eastAsia"/>
        </w:rPr>
        <w:t>注</w:t>
      </w:r>
      <w:r>
        <w:t>：数据来源广西统计年鉴</w:t>
      </w:r>
    </w:p>
    <w:p>
      <w:pPr>
        <w:ind w:firstLine="0" w:firstLineChars="0"/>
      </w:pPr>
    </w:p>
    <w:p>
      <w:pPr>
        <w:ind w:firstLine="0" w:firstLineChars="0"/>
      </w:pPr>
    </w:p>
    <w:p>
      <w:pPr>
        <w:autoSpaceDE w:val="0"/>
        <w:autoSpaceDN w:val="0"/>
        <w:adjustRightInd w:val="0"/>
        <w:ind w:firstLine="753" w:firstLineChars="250"/>
        <w:jc w:val="left"/>
        <w:rPr>
          <w:rFonts w:ascii="宋体" w:hAnsi="宋体" w:cs="宋体"/>
          <w:b/>
          <w:sz w:val="30"/>
          <w:szCs w:val="30"/>
        </w:rPr>
      </w:pPr>
      <w:r>
        <w:rPr>
          <w:rFonts w:ascii="宋体" w:hAnsi="宋体" w:cs="宋体"/>
          <w:b/>
          <w:sz w:val="30"/>
          <w:szCs w:val="30"/>
        </w:rPr>
        <w:drawing>
          <wp:inline distT="0" distB="0" distL="0" distR="0">
            <wp:extent cx="5056505" cy="2950845"/>
            <wp:effectExtent l="0" t="0" r="10795" b="1905"/>
            <wp:docPr id="5" name="对象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ind w:firstLine="560"/>
        <w:jc w:val="center"/>
      </w:pPr>
      <w:r>
        <w:rPr>
          <w:rFonts w:hint="eastAsia"/>
        </w:rPr>
        <w:t>图2</w:t>
      </w:r>
      <w:r>
        <w:t xml:space="preserve">-3  </w:t>
      </w:r>
      <w:r>
        <w:rPr>
          <w:rFonts w:hint="eastAsia"/>
        </w:rPr>
        <w:t>2</w:t>
      </w:r>
      <w:r>
        <w:t>014-2018</w:t>
      </w:r>
      <w:r>
        <w:rPr>
          <w:rFonts w:hint="eastAsia"/>
        </w:rPr>
        <w:t>年</w:t>
      </w:r>
      <w:r>
        <w:t>兴安县地区生产总值</w:t>
      </w:r>
    </w:p>
    <w:p>
      <w:pPr>
        <w:autoSpaceDE w:val="0"/>
        <w:autoSpaceDN w:val="0"/>
        <w:adjustRightInd w:val="0"/>
        <w:ind w:firstLine="0" w:firstLineChars="0"/>
        <w:jc w:val="left"/>
        <w:rPr>
          <w:rFonts w:ascii="宋体" w:hAnsi="宋体" w:cs="宋体"/>
          <w:b/>
          <w:sz w:val="30"/>
          <w:szCs w:val="30"/>
        </w:rPr>
      </w:pPr>
    </w:p>
    <w:p>
      <w:pPr>
        <w:autoSpaceDE w:val="0"/>
        <w:autoSpaceDN w:val="0"/>
        <w:adjustRightInd w:val="0"/>
        <w:ind w:firstLine="0" w:firstLineChars="0"/>
        <w:jc w:val="left"/>
        <w:rPr>
          <w:rFonts w:ascii="宋体" w:hAnsi="宋体" w:cs="宋体"/>
          <w:b/>
          <w:sz w:val="30"/>
          <w:szCs w:val="30"/>
        </w:rPr>
      </w:pPr>
    </w:p>
    <w:p>
      <w:pPr>
        <w:autoSpaceDE w:val="0"/>
        <w:autoSpaceDN w:val="0"/>
        <w:adjustRightInd w:val="0"/>
        <w:ind w:firstLine="0" w:firstLineChars="0"/>
        <w:jc w:val="left"/>
        <w:rPr>
          <w:rFonts w:ascii="宋体" w:hAnsi="宋体" w:cs="宋体"/>
          <w:b/>
          <w:sz w:val="30"/>
          <w:szCs w:val="30"/>
        </w:rPr>
      </w:pPr>
      <w:r>
        <w:rPr>
          <w:rFonts w:ascii="宋体" w:hAnsi="宋体" w:cs="宋体"/>
          <w:b/>
          <w:sz w:val="30"/>
          <w:szCs w:val="30"/>
        </w:rPr>
        <w:drawing>
          <wp:inline distT="0" distB="0" distL="0" distR="0">
            <wp:extent cx="6005830" cy="2562225"/>
            <wp:effectExtent l="0" t="0" r="13970" b="9525"/>
            <wp:docPr id="6" name="对象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ind w:firstLine="560"/>
        <w:jc w:val="center"/>
      </w:pPr>
      <w:r>
        <w:rPr>
          <w:rFonts w:hint="eastAsia"/>
        </w:rPr>
        <w:t>图2</w:t>
      </w:r>
      <w:r>
        <w:t xml:space="preserve">-4  </w:t>
      </w:r>
      <w:r>
        <w:rPr>
          <w:rFonts w:hint="eastAsia"/>
        </w:rPr>
        <w:t>2</w:t>
      </w:r>
      <w:r>
        <w:t>014-2018</w:t>
      </w:r>
      <w:r>
        <w:rPr>
          <w:rFonts w:hint="eastAsia"/>
        </w:rPr>
        <w:t>年</w:t>
      </w:r>
      <w:r>
        <w:t>兴安县</w:t>
      </w:r>
      <w:r>
        <w:rPr>
          <w:rFonts w:hint="eastAsia"/>
        </w:rPr>
        <w:t>城乡居民</w:t>
      </w:r>
      <w:r>
        <w:t>人均可支配</w:t>
      </w:r>
      <w:r>
        <w:rPr>
          <w:rFonts w:hint="eastAsia"/>
        </w:rPr>
        <w:t>收入</w:t>
      </w:r>
    </w:p>
    <w:p>
      <w:pPr>
        <w:autoSpaceDE w:val="0"/>
        <w:autoSpaceDN w:val="0"/>
        <w:adjustRightInd w:val="0"/>
        <w:ind w:firstLine="0" w:firstLineChars="0"/>
        <w:jc w:val="left"/>
        <w:rPr>
          <w:rFonts w:ascii="宋体" w:hAnsi="宋体" w:cs="宋体"/>
          <w:b/>
          <w:sz w:val="30"/>
          <w:szCs w:val="30"/>
        </w:rPr>
      </w:pPr>
    </w:p>
    <w:p>
      <w:pPr>
        <w:autoSpaceDE w:val="0"/>
        <w:autoSpaceDN w:val="0"/>
        <w:adjustRightInd w:val="0"/>
        <w:ind w:firstLine="0" w:firstLineChars="0"/>
        <w:jc w:val="left"/>
        <w:rPr>
          <w:rFonts w:ascii="宋体" w:hAnsi="宋体" w:cs="宋体"/>
          <w:b/>
          <w:sz w:val="30"/>
          <w:szCs w:val="30"/>
        </w:rPr>
      </w:pPr>
    </w:p>
    <w:p>
      <w:pPr>
        <w:autoSpaceDE w:val="0"/>
        <w:autoSpaceDN w:val="0"/>
        <w:adjustRightInd w:val="0"/>
        <w:ind w:firstLine="0" w:firstLineChars="0"/>
        <w:jc w:val="left"/>
        <w:rPr>
          <w:rFonts w:ascii="宋体" w:hAnsi="宋体" w:cs="宋体"/>
          <w:b/>
          <w:sz w:val="30"/>
          <w:szCs w:val="30"/>
        </w:rPr>
      </w:pPr>
      <w:r>
        <w:rPr>
          <w:rFonts w:ascii="宋体" w:hAnsi="宋体" w:cs="宋体"/>
          <w:b/>
          <w:sz w:val="30"/>
          <w:szCs w:val="30"/>
        </w:rPr>
        <w:drawing>
          <wp:inline distT="0" distB="0" distL="0" distR="0">
            <wp:extent cx="5562600" cy="3708400"/>
            <wp:effectExtent l="0" t="0" r="0" b="6350"/>
            <wp:docPr id="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ind w:firstLine="560"/>
        <w:jc w:val="center"/>
        <w:rPr>
          <w:rFonts w:ascii="宋体" w:hAnsi="宋体" w:cs="宋体"/>
          <w:b/>
          <w:sz w:val="30"/>
          <w:szCs w:val="30"/>
        </w:rPr>
      </w:pPr>
      <w:r>
        <w:rPr>
          <w:rFonts w:hint="eastAsia"/>
        </w:rPr>
        <w:t>图2</w:t>
      </w:r>
      <w:r>
        <w:t>-5  2018</w:t>
      </w:r>
      <w:r>
        <w:rPr>
          <w:rFonts w:hint="eastAsia"/>
        </w:rPr>
        <w:t>年</w:t>
      </w:r>
      <w:r>
        <w:t>兴安县</w:t>
      </w:r>
      <w:r>
        <w:rPr>
          <w:rFonts w:hint="eastAsia"/>
        </w:rPr>
        <w:t>三大产业</w:t>
      </w:r>
      <w:r>
        <w:t>结构图</w:t>
      </w:r>
    </w:p>
    <w:p>
      <w:pPr>
        <w:pStyle w:val="4"/>
        <w:spacing w:before="156" w:after="156"/>
        <w:ind w:firstLine="452"/>
        <w:rPr>
          <w:szCs w:val="28"/>
        </w:rPr>
      </w:pPr>
      <w:r>
        <w:rPr>
          <w:rFonts w:hint="eastAsia"/>
        </w:rPr>
        <w:t>（三）农村基础设施</w:t>
      </w:r>
    </w:p>
    <w:p>
      <w:pPr>
        <w:ind w:firstLine="562"/>
        <w:rPr>
          <w:rFonts w:ascii="宋体" w:hAnsi="宋体" w:cs="宋体"/>
          <w:b/>
          <w:szCs w:val="28"/>
        </w:rPr>
      </w:pPr>
      <w:r>
        <w:rPr>
          <w:rFonts w:hint="eastAsia" w:ascii="宋体" w:hAnsi="宋体" w:cs="宋体"/>
          <w:b/>
          <w:szCs w:val="28"/>
        </w:rPr>
        <w:t>1.道路交通</w:t>
      </w:r>
    </w:p>
    <w:p>
      <w:pPr>
        <w:ind w:firstLine="560"/>
        <w:rPr>
          <w:rFonts w:ascii="宋体" w:hAnsi="宋体" w:cs="宋体"/>
          <w:b/>
          <w:szCs w:val="28"/>
        </w:rPr>
      </w:pPr>
      <w:r>
        <w:rPr>
          <w:rFonts w:hint="eastAsia"/>
        </w:rPr>
        <w:t>近年来，兴安县不断加强对公路建设的投入，公路硬化面积逐年增加，路面质量不断提高，兴安县境内有公路里程</w:t>
      </w:r>
      <w:r>
        <w:rPr>
          <w:rFonts w:cs="Calibri"/>
        </w:rPr>
        <w:t>654.534</w:t>
      </w:r>
      <w:r>
        <w:rPr>
          <w:rFonts w:hint="eastAsia"/>
        </w:rPr>
        <w:t>公里，其中国道</w:t>
      </w:r>
      <w:r>
        <w:rPr>
          <w:rFonts w:cs="Calibri"/>
        </w:rPr>
        <w:t>48</w:t>
      </w:r>
      <w:r>
        <w:rPr>
          <w:rFonts w:hint="eastAsia"/>
        </w:rPr>
        <w:t>公里，省道</w:t>
      </w:r>
      <w:r>
        <w:rPr>
          <w:rFonts w:cs="Calibri"/>
        </w:rPr>
        <w:t>43.07</w:t>
      </w:r>
      <w:r>
        <w:rPr>
          <w:rFonts w:hint="eastAsia"/>
        </w:rPr>
        <w:t>公里，县道</w:t>
      </w:r>
      <w:r>
        <w:rPr>
          <w:rFonts w:cs="Calibri"/>
        </w:rPr>
        <w:t>231.216</w:t>
      </w:r>
      <w:r>
        <w:rPr>
          <w:rFonts w:hint="eastAsia"/>
        </w:rPr>
        <w:t>公里，乡道</w:t>
      </w:r>
      <w:r>
        <w:rPr>
          <w:rFonts w:cs="Calibri"/>
        </w:rPr>
        <w:t>332.248</w:t>
      </w:r>
      <w:r>
        <w:rPr>
          <w:rFonts w:hint="eastAsia"/>
        </w:rPr>
        <w:t>公里。以镇政府为中心，连接</w:t>
      </w:r>
      <w:r>
        <w:rPr>
          <w:rFonts w:cs="Calibri"/>
        </w:rPr>
        <w:t>19</w:t>
      </w:r>
      <w:r>
        <w:rPr>
          <w:rFonts w:hint="eastAsia"/>
        </w:rPr>
        <w:t>个村的主要道路、各村主街道全面硬化，实现了村村通公路、乡乡通油路，</w:t>
      </w:r>
      <w:r>
        <w:rPr>
          <w:rFonts w:cs="Calibri"/>
        </w:rPr>
        <w:t>95%</w:t>
      </w:r>
      <w:r>
        <w:rPr>
          <w:rFonts w:hint="eastAsia"/>
        </w:rPr>
        <w:t>以上行政村通等级路，行政村客运班线通达率达</w:t>
      </w:r>
      <w:r>
        <w:rPr>
          <w:rFonts w:cs="Calibri"/>
        </w:rPr>
        <w:t>94%</w:t>
      </w:r>
      <w:r>
        <w:rPr>
          <w:rFonts w:hint="eastAsia"/>
        </w:rPr>
        <w:t>。</w:t>
      </w:r>
    </w:p>
    <w:p>
      <w:pPr>
        <w:ind w:firstLine="562"/>
        <w:rPr>
          <w:rFonts w:ascii="宋体" w:hAnsi="宋体" w:cs="宋体"/>
          <w:b/>
          <w:color w:val="000000"/>
          <w:szCs w:val="28"/>
        </w:rPr>
      </w:pPr>
      <w:r>
        <w:rPr>
          <w:rFonts w:ascii="宋体" w:hAnsi="宋体" w:cs="宋体"/>
          <w:b/>
          <w:szCs w:val="28"/>
        </w:rPr>
        <w:t>2.</w:t>
      </w:r>
      <w:r>
        <w:rPr>
          <w:rFonts w:hint="eastAsia" w:ascii="宋体" w:hAnsi="宋体" w:cs="宋体"/>
          <w:b/>
          <w:color w:val="000000"/>
          <w:szCs w:val="28"/>
        </w:rPr>
        <w:t>水电设施</w:t>
      </w:r>
    </w:p>
    <w:p>
      <w:pPr>
        <w:ind w:firstLine="560"/>
        <w:rPr>
          <w:rFonts w:ascii="宋体" w:hAnsi="宋体" w:cs="宋体"/>
          <w:b/>
          <w:szCs w:val="28"/>
        </w:rPr>
      </w:pPr>
      <w:r>
        <w:rPr>
          <w:rFonts w:hint="eastAsia"/>
          <w:color w:val="000000"/>
        </w:rPr>
        <w:t>全县程控电话装机容量</w:t>
      </w:r>
      <w:r>
        <w:rPr>
          <w:rFonts w:cs="Calibri"/>
          <w:color w:val="000000"/>
        </w:rPr>
        <w:t>3</w:t>
      </w:r>
      <w:r>
        <w:rPr>
          <w:rFonts w:hint="eastAsia"/>
          <w:color w:val="000000"/>
        </w:rPr>
        <w:t>万门，有用户</w:t>
      </w:r>
      <w:r>
        <w:rPr>
          <w:rFonts w:cs="Calibri"/>
          <w:color w:val="000000"/>
        </w:rPr>
        <w:t>15000</w:t>
      </w:r>
      <w:r>
        <w:rPr>
          <w:rFonts w:hint="eastAsia"/>
          <w:color w:val="000000"/>
        </w:rPr>
        <w:t>多户；</w:t>
      </w:r>
      <w:r>
        <w:rPr>
          <w:rFonts w:cs="Calibri"/>
          <w:color w:val="000000"/>
        </w:rPr>
        <w:t>100%</w:t>
      </w:r>
      <w:r>
        <w:rPr>
          <w:rFonts w:hint="eastAsia"/>
          <w:color w:val="000000"/>
        </w:rPr>
        <w:t>的行政村可收到广播电视，移动电话和互联网可与世界五大洲相通。</w:t>
      </w:r>
    </w:p>
    <w:p>
      <w:pPr>
        <w:ind w:firstLine="562"/>
        <w:rPr>
          <w:rFonts w:ascii="宋体" w:hAnsi="宋体" w:cs="宋体"/>
          <w:b/>
          <w:szCs w:val="28"/>
        </w:rPr>
      </w:pPr>
    </w:p>
    <w:p>
      <w:pPr>
        <w:ind w:firstLine="562"/>
        <w:rPr>
          <w:rFonts w:ascii="宋体" w:hAnsi="宋体" w:cs="宋体"/>
          <w:b/>
          <w:szCs w:val="28"/>
        </w:rPr>
      </w:pPr>
      <w:r>
        <w:rPr>
          <w:rFonts w:ascii="宋体" w:hAnsi="宋体" w:cs="宋体"/>
          <w:b/>
          <w:szCs w:val="28"/>
        </w:rPr>
        <w:t>3.</w:t>
      </w:r>
      <w:r>
        <w:rPr>
          <w:rFonts w:hint="eastAsia" w:ascii="宋体" w:hAnsi="宋体" w:cs="宋体"/>
          <w:b/>
          <w:szCs w:val="28"/>
        </w:rPr>
        <w:t>通讯条件</w:t>
      </w:r>
    </w:p>
    <w:p>
      <w:pPr>
        <w:ind w:firstLine="560"/>
      </w:pPr>
      <w:r>
        <w:rPr>
          <w:rFonts w:hint="eastAsia"/>
        </w:rPr>
        <w:t>全县程控电话装机容量</w:t>
      </w:r>
      <w:r>
        <w:t>3</w:t>
      </w:r>
      <w:r>
        <w:rPr>
          <w:rFonts w:hint="eastAsia"/>
        </w:rPr>
        <w:t>万门，有用户</w:t>
      </w:r>
      <w:r>
        <w:t>15000</w:t>
      </w:r>
      <w:r>
        <w:rPr>
          <w:rFonts w:hint="eastAsia"/>
        </w:rPr>
        <w:t>多户；</w:t>
      </w:r>
      <w:r>
        <w:t>100%</w:t>
      </w:r>
      <w:r>
        <w:rPr>
          <w:rFonts w:hint="eastAsia"/>
        </w:rPr>
        <w:t>的行政村可收到广播电视，移动电话和互联网可与世界五大洲相通。</w:t>
      </w:r>
    </w:p>
    <w:p>
      <w:pPr>
        <w:ind w:firstLine="560"/>
      </w:pPr>
      <w:r>
        <w:t>“</w:t>
      </w:r>
      <w:r>
        <w:rPr>
          <w:rFonts w:hint="eastAsia"/>
        </w:rPr>
        <w:t>十二五</w:t>
      </w:r>
      <w:r>
        <w:t>”</w:t>
      </w:r>
      <w:r>
        <w:rPr>
          <w:rFonts w:hint="eastAsia"/>
        </w:rPr>
        <w:t>期间，兴安县抓住列入国家第三批中央财政小型农田水利建设重点县的机遇，结合土地整理、农机作业、科技灌溉等项目大力提升农业产业化水平，在全区率先实施了光伏应用产品等新能源技术进村屯工程。</w:t>
      </w:r>
    </w:p>
    <w:p>
      <w:pPr>
        <w:ind w:firstLine="562"/>
        <w:rPr>
          <w:b/>
        </w:rPr>
      </w:pPr>
      <w:r>
        <w:rPr>
          <w:rFonts w:hint="eastAsia"/>
          <w:b/>
        </w:rPr>
        <w:t>4.公共服务设施与住房保障</w:t>
      </w:r>
    </w:p>
    <w:p>
      <w:pPr>
        <w:ind w:firstLine="560"/>
      </w:pPr>
      <w:r>
        <w:rPr>
          <w:rFonts w:hint="eastAsia"/>
        </w:rPr>
        <w:t>近两年来，</w:t>
      </w:r>
      <w:r>
        <w:t>兴安县拥有公共文化场馆和设施240个，包括县文化馆1个，图书馆1个，县博物馆1个，乡（镇）文化站10个，村级公共服务中心55个，农家书屋或图书室126个。全年共获上级审批科技项目6项，项目经费共313万元。</w:t>
      </w:r>
      <w:r>
        <w:rPr>
          <w:rFonts w:hint="eastAsia"/>
        </w:rPr>
        <w:t>全县村级办公环境得到进一步优化，组织活动更加丰富，居民健康水平得到提高。</w:t>
      </w:r>
    </w:p>
    <w:p>
      <w:pPr>
        <w:ind w:firstLine="560"/>
      </w:pPr>
      <w:r>
        <w:rPr>
          <w:rFonts w:hint="eastAsia"/>
        </w:rPr>
        <w:t>人居环境极大改善，启动投资18.75亿元的兴安县城市棚户区改造项目，涉及改造3000户、21个片区，统筹推进新区建设，疏解提升老城区。实施了滨江公园、灵渠大道等一批重大基础设施建设项目，拓展了城市空间，完善了城市功能。农村完成改厨改厕9531户，极大地改善了人居环境。</w:t>
      </w:r>
    </w:p>
    <w:p>
      <w:pPr>
        <w:ind w:firstLine="560"/>
      </w:pPr>
    </w:p>
    <w:p>
      <w:pPr>
        <w:pStyle w:val="3"/>
        <w:ind w:firstLine="643"/>
      </w:pPr>
      <w:bookmarkStart w:id="31" w:name="_Toc21594832"/>
      <w:bookmarkStart w:id="32" w:name="_Toc529131794"/>
      <w:bookmarkStart w:id="33" w:name="_Toc18417388"/>
      <w:r>
        <w:rPr>
          <w:rFonts w:hint="eastAsia"/>
        </w:rPr>
        <w:t>三、自然环境概况</w:t>
      </w:r>
      <w:bookmarkEnd w:id="31"/>
      <w:bookmarkEnd w:id="32"/>
      <w:bookmarkEnd w:id="33"/>
    </w:p>
    <w:p>
      <w:pPr>
        <w:pStyle w:val="4"/>
        <w:spacing w:before="156" w:after="156"/>
        <w:ind w:firstLine="452"/>
      </w:pPr>
      <w:r>
        <w:rPr>
          <w:rFonts w:hint="eastAsia"/>
        </w:rPr>
        <w:t>（一）地形地貌</w:t>
      </w:r>
    </w:p>
    <w:p>
      <w:pPr>
        <w:ind w:firstLine="560"/>
      </w:pPr>
      <w:r>
        <w:t>兴安县的地形多样而复杂，西北和东南为山地，山峦重叠，沟谷溪流纵横。西北部为越城岭山系，逐渐向西南倾斜。东南部是都庞岭的海洋山系，并逐渐向东北倾斜。形成两大山系之间的狭长谷地，称“湘桂走廊”，其间有土岭、石山、河谷平原。走廊中部的临源岭是制高点，湘江和灵渠由县城东郊分水塘的东北和西南低处方向分流。湘江流向东北，属长江水系；灵渠向西南流汇入大溶江，合流称漓江，属珠江水系。人称</w:t>
      </w:r>
      <w:r>
        <w:rPr>
          <w:rFonts w:ascii="宋体" w:hAnsi="宋体"/>
        </w:rPr>
        <w:t>“</w:t>
      </w:r>
      <w:r>
        <w:t>兴安高万丈，水往两头流</w:t>
      </w:r>
      <w:r>
        <w:rPr>
          <w:rFonts w:ascii="宋体" w:hAnsi="宋体"/>
        </w:rPr>
        <w:t>”</w:t>
      </w:r>
      <w:r>
        <w:t>。整个地形恰似一只展翅的蝴蝶，东北角形似蝴蝶的头，西南角形似蝴蝶的尾，东南和西北恰似展开的翅膀。</w:t>
      </w:r>
    </w:p>
    <w:p>
      <w:pPr>
        <w:pStyle w:val="4"/>
        <w:spacing w:before="156" w:after="156"/>
        <w:ind w:firstLine="452"/>
      </w:pPr>
      <w:r>
        <w:rPr>
          <w:rFonts w:hint="eastAsia"/>
        </w:rPr>
        <w:t>（二）气候特征</w:t>
      </w:r>
    </w:p>
    <w:p>
      <w:pPr>
        <w:ind w:firstLine="560"/>
      </w:pPr>
      <w:r>
        <w:rPr>
          <w:rFonts w:hint="eastAsia"/>
        </w:rPr>
        <w:t>兴安县地处北回归线附近，属中亚热带湿润季风气候区，气温适宜，雨量充沛，日照时间长，积温多，霜期短。境内东南和西北地势高，东北和西南地势低，形成县内错综复杂的地区性气候特征，水热条件的地域性差异十分明显。</w:t>
      </w:r>
    </w:p>
    <w:p>
      <w:pPr>
        <w:pStyle w:val="4"/>
        <w:spacing w:before="156" w:after="156"/>
        <w:ind w:firstLine="452"/>
      </w:pPr>
      <w:r>
        <w:rPr>
          <w:rFonts w:hint="eastAsia"/>
        </w:rPr>
        <w:t>（三）土壤分类</w:t>
      </w:r>
    </w:p>
    <w:p>
      <w:pPr>
        <w:spacing w:line="580" w:lineRule="exact"/>
        <w:ind w:firstLine="560"/>
      </w:pPr>
      <w:r>
        <w:rPr>
          <w:rFonts w:hint="eastAsia"/>
        </w:rPr>
        <w:t>兴安县土壤类型有沙泥、土沙、土泥、土红、泥土、石子土等</w:t>
      </w:r>
      <w:r>
        <w:t>5个土</w:t>
      </w:r>
      <w:r>
        <w:rPr>
          <w:rFonts w:hint="eastAsia"/>
        </w:rPr>
        <w:t>壤</w:t>
      </w:r>
      <w:r>
        <w:t>，29个土属，69个土种；荒山林地土壤分7个土类，30个土属，90个土种，按照兴安县通俗名称归纳，简化为3类23种土壤，其中水田11种，旱地5种，荒山林地7种。</w:t>
      </w:r>
    </w:p>
    <w:p>
      <w:pPr>
        <w:spacing w:line="580" w:lineRule="exact"/>
        <w:ind w:firstLine="560"/>
        <w:rPr>
          <w:rFonts w:ascii="宋体" w:hAnsi="宋体"/>
        </w:rPr>
      </w:pPr>
      <w:r>
        <w:rPr>
          <w:rFonts w:hint="eastAsia" w:ascii="宋体" w:hAnsi="宋体"/>
        </w:rPr>
        <w:t>水田土壤面积292849亩，其中：沙泥田：全县有134687亩，占水田总面积45.99%；沙田：全县有30867亩，占水田总面积10.54%；泥田：全县有47966亩，占水田总面积16.38%</w:t>
      </w:r>
      <w:r>
        <w:t>；</w:t>
      </w:r>
      <w:r>
        <w:rPr>
          <w:rFonts w:hint="eastAsia" w:ascii="宋体" w:hAnsi="宋体"/>
        </w:rPr>
        <w:t>腊泥田：全县有647亩，占水田总面积0.22%；黄泥田：全县有2436亩，占水田总面积0.83%；石子底田：全县有9713亩，占水田总面积3.32%；烂泥田：全县有8693亩，占水田总面积2.97%；次潜土田：全县在9415亩，占水田总面积3.21%；石灰性土田：全县有46624亩，占水田总面积15.92%；粉结田：全县有1308亩，占水田总面积0.45%；矿毒废水田：全县有493亩，占水田面积0.17%。</w:t>
      </w:r>
    </w:p>
    <w:p>
      <w:pPr>
        <w:spacing w:line="580" w:lineRule="exact"/>
        <w:ind w:firstLine="560"/>
        <w:rPr>
          <w:rFonts w:ascii="宋体" w:hAnsi="宋体"/>
        </w:rPr>
      </w:pPr>
      <w:r>
        <w:rPr>
          <w:rFonts w:hint="eastAsia" w:ascii="宋体" w:hAnsi="宋体"/>
        </w:rPr>
        <w:t>旱地土壤面积</w:t>
      </w:r>
      <w:r>
        <w:rPr>
          <w:rFonts w:ascii="宋体" w:hAnsi="宋体"/>
        </w:rPr>
        <w:t>61931亩，其中：</w:t>
      </w:r>
      <w:r>
        <w:rPr>
          <w:rFonts w:hint="eastAsia" w:ascii="宋体" w:hAnsi="宋体"/>
        </w:rPr>
        <w:t>沙泥土：全县有</w:t>
      </w:r>
      <w:r>
        <w:rPr>
          <w:rFonts w:ascii="宋体" w:hAnsi="宋体"/>
        </w:rPr>
        <w:t>13134亩，占旱地总面积20.19%；</w:t>
      </w:r>
      <w:r>
        <w:rPr>
          <w:rFonts w:hint="eastAsia" w:ascii="宋体" w:hAnsi="宋体"/>
        </w:rPr>
        <w:t>沙土：全县有</w:t>
      </w:r>
      <w:r>
        <w:rPr>
          <w:rFonts w:ascii="宋体" w:hAnsi="宋体"/>
        </w:rPr>
        <w:t>2408亩，占旱地总面积3.7%；</w:t>
      </w:r>
      <w:r>
        <w:rPr>
          <w:rFonts w:hint="eastAsia" w:ascii="宋体" w:hAnsi="宋体"/>
        </w:rPr>
        <w:t>泥土：全县有</w:t>
      </w:r>
      <w:r>
        <w:rPr>
          <w:rFonts w:ascii="宋体" w:hAnsi="宋体"/>
        </w:rPr>
        <w:t>42617亩，占旱地总面积65.5%；</w:t>
      </w:r>
      <w:r>
        <w:rPr>
          <w:rFonts w:hint="eastAsia" w:ascii="宋体" w:hAnsi="宋体"/>
        </w:rPr>
        <w:t>红泥土：全县有</w:t>
      </w:r>
      <w:r>
        <w:rPr>
          <w:rFonts w:ascii="宋体" w:hAnsi="宋体"/>
        </w:rPr>
        <w:t>961亩，占旱地总面积1.47%；</w:t>
      </w:r>
      <w:r>
        <w:rPr>
          <w:rFonts w:hint="eastAsia" w:ascii="宋体" w:hAnsi="宋体"/>
        </w:rPr>
        <w:t>石子土：全县有</w:t>
      </w:r>
      <w:r>
        <w:rPr>
          <w:rFonts w:ascii="宋体" w:hAnsi="宋体"/>
        </w:rPr>
        <w:t>5946亩，占旱地总面积9.14%。</w:t>
      </w:r>
    </w:p>
    <w:p>
      <w:pPr>
        <w:spacing w:line="580" w:lineRule="exact"/>
        <w:ind w:firstLine="560"/>
        <w:rPr>
          <w:rFonts w:ascii="宋体" w:hAnsi="宋体"/>
        </w:rPr>
      </w:pPr>
      <w:r>
        <w:rPr>
          <w:rFonts w:hint="eastAsia" w:ascii="宋体" w:hAnsi="宋体"/>
        </w:rPr>
        <w:t>荒山、林地土壤面积</w:t>
      </w:r>
      <w:r>
        <w:rPr>
          <w:rFonts w:ascii="宋体" w:hAnsi="宋体"/>
        </w:rPr>
        <w:t>2548694亩，其中：</w:t>
      </w:r>
      <w:r>
        <w:rPr>
          <w:rFonts w:hint="eastAsia" w:ascii="宋体" w:hAnsi="宋体"/>
        </w:rPr>
        <w:t>红壤：全县有</w:t>
      </w:r>
      <w:r>
        <w:rPr>
          <w:rFonts w:ascii="宋体" w:hAnsi="宋体"/>
        </w:rPr>
        <w:t>875597亩，占山地总面积34.35%；</w:t>
      </w:r>
      <w:r>
        <w:rPr>
          <w:rFonts w:hint="eastAsia" w:ascii="宋体" w:hAnsi="宋体"/>
        </w:rPr>
        <w:t>石灰土：全县有</w:t>
      </w:r>
      <w:r>
        <w:rPr>
          <w:rFonts w:ascii="宋体" w:hAnsi="宋体"/>
        </w:rPr>
        <w:t>114936亩，占山地总面积4.51%；</w:t>
      </w:r>
      <w:r>
        <w:rPr>
          <w:rFonts w:hint="eastAsia" w:ascii="宋体" w:hAnsi="宋体"/>
        </w:rPr>
        <w:t>黄红壤：全县有</w:t>
      </w:r>
      <w:r>
        <w:rPr>
          <w:rFonts w:ascii="宋体" w:hAnsi="宋体"/>
        </w:rPr>
        <w:t>539353亩，占山地总面积21.16%。；</w:t>
      </w:r>
      <w:r>
        <w:rPr>
          <w:rFonts w:hint="eastAsia" w:ascii="宋体" w:hAnsi="宋体"/>
        </w:rPr>
        <w:t>黄壤：全县有</w:t>
      </w:r>
      <w:r>
        <w:rPr>
          <w:rFonts w:ascii="宋体" w:hAnsi="宋体"/>
        </w:rPr>
        <w:t>679263亩，占山地总面积26.65%</w:t>
      </w:r>
      <w:r>
        <w:rPr>
          <w:rFonts w:hint="eastAsia" w:ascii="宋体" w:hAnsi="宋体"/>
        </w:rPr>
        <w:t>；黄棕壤：全县有</w:t>
      </w:r>
      <w:r>
        <w:rPr>
          <w:rFonts w:ascii="宋体" w:hAnsi="宋体"/>
        </w:rPr>
        <w:t>26551亩，占山地总面积1.04%</w:t>
      </w:r>
      <w:r>
        <w:rPr>
          <w:rFonts w:hint="eastAsia" w:ascii="宋体" w:hAnsi="宋体"/>
        </w:rPr>
        <w:t>；紫色土：全县有</w:t>
      </w:r>
      <w:r>
        <w:rPr>
          <w:rFonts w:ascii="宋体" w:hAnsi="宋体"/>
        </w:rPr>
        <w:t>297055亩，占山地总面积11.66%</w:t>
      </w:r>
      <w:r>
        <w:rPr>
          <w:rFonts w:hint="eastAsia" w:ascii="宋体" w:hAnsi="宋体"/>
        </w:rPr>
        <w:t>；草甸土：全县有</w:t>
      </w:r>
      <w:r>
        <w:rPr>
          <w:rFonts w:ascii="宋体" w:hAnsi="宋体"/>
        </w:rPr>
        <w:t>15935亩，占山地总面积0.63%。</w:t>
      </w:r>
    </w:p>
    <w:p>
      <w:pPr>
        <w:pStyle w:val="3"/>
        <w:ind w:firstLine="643"/>
      </w:pPr>
      <w:bookmarkStart w:id="34" w:name="_Toc529131795"/>
      <w:bookmarkStart w:id="35" w:name="_Toc18417389"/>
      <w:bookmarkStart w:id="36" w:name="_Toc21594833"/>
      <w:r>
        <w:rPr>
          <w:rFonts w:hint="eastAsia"/>
        </w:rPr>
        <w:t>四、自然资源概况</w:t>
      </w:r>
      <w:bookmarkEnd w:id="34"/>
      <w:bookmarkEnd w:id="35"/>
      <w:bookmarkEnd w:id="36"/>
    </w:p>
    <w:p>
      <w:pPr>
        <w:pStyle w:val="4"/>
        <w:spacing w:before="156" w:after="156"/>
        <w:ind w:firstLine="452"/>
      </w:pPr>
      <w:r>
        <w:rPr>
          <w:rFonts w:hint="eastAsia"/>
        </w:rPr>
        <w:t>（一）水资源</w:t>
      </w:r>
    </w:p>
    <w:p>
      <w:pPr>
        <w:ind w:firstLine="560"/>
      </w:pPr>
      <w:r>
        <w:rPr>
          <w:rFonts w:hint="eastAsia"/>
        </w:rPr>
        <w:t>兴安县境内有湘江和漓江两大主流，其他河流都是支流，分属长江和珠江两大水系；长江水系干流湘江，珠江水系干流漓江。珠江水系的漓江发源于境内的猫儿山，河流总长586.75公里,一支流由龙塘江、六洞河、华江、黄柏江、川江集中于溶江镇汇入漓江，一支流小溶江发源于溶江镇的金石林区，在溶江镇的河口汇入漓江。长江水系的湘江发源属海洋山脉的兴安白石乡经海洋河流程7.5公里到“分水塘”，通过2000多年前秦朝修筑的古“灵渠”铧咀“三七分水”将湘江近四分之一的水引入漓江，沟通了长江和珠江水系。在兴安境内有一级支流11条，共长218.2公里，二级支流24条，共长202.5公里。全县河流总长</w:t>
      </w:r>
      <w:r>
        <w:rPr>
          <w:rFonts w:cs="Calibri"/>
        </w:rPr>
        <w:t>817.7</w:t>
      </w:r>
      <w:r>
        <w:rPr>
          <w:rFonts w:hint="eastAsia"/>
        </w:rPr>
        <w:t>公里，总流域面积</w:t>
      </w:r>
      <w:r>
        <w:rPr>
          <w:rFonts w:cs="Calibri"/>
        </w:rPr>
        <w:t>2348</w:t>
      </w:r>
      <w:r>
        <w:rPr>
          <w:rFonts w:hint="eastAsia"/>
        </w:rPr>
        <w:t>平方公里，河网密度</w:t>
      </w:r>
      <w:r>
        <w:rPr>
          <w:rFonts w:cs="Calibri"/>
        </w:rPr>
        <w:t>0.35</w:t>
      </w:r>
      <w:r>
        <w:rPr>
          <w:rFonts w:hint="eastAsia"/>
        </w:rPr>
        <w:t>公里每平方公里，多年平均总流量</w:t>
      </w:r>
      <w:r>
        <w:rPr>
          <w:rFonts w:cs="Calibri"/>
        </w:rPr>
        <w:t>118.26</w:t>
      </w:r>
      <w:r>
        <w:rPr>
          <w:rFonts w:hint="eastAsia"/>
        </w:rPr>
        <w:t>立方米每秒。</w:t>
      </w:r>
    </w:p>
    <w:p>
      <w:pPr>
        <w:ind w:firstLine="0" w:firstLineChars="0"/>
        <w:jc w:val="center"/>
        <w:rPr>
          <w:color w:val="000000"/>
        </w:rPr>
      </w:pPr>
      <w:r>
        <w:rPr>
          <w:color w:val="000000"/>
        </w:rPr>
        <w:drawing>
          <wp:inline distT="0" distB="0" distL="0" distR="0">
            <wp:extent cx="5727065" cy="3369945"/>
            <wp:effectExtent l="0" t="0" r="6985" b="1905"/>
            <wp:docPr id="8" name="图片 8" descr="QQ图片2019052910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图片20190529103427"/>
                    <pic:cNvPicPr>
                      <a:picLocks noChangeAspect="1" noChangeArrowheads="1"/>
                    </pic:cNvPicPr>
                  </pic:nvPicPr>
                  <pic:blipFill>
                    <a:blip r:embed="rId28" cstate="print">
                      <a:extLst>
                        <a:ext uri="{28A0092B-C50C-407E-A947-70E740481C1C}">
                          <a14:useLocalDpi xmlns:a14="http://schemas.microsoft.com/office/drawing/2010/main" val="0"/>
                        </a:ext>
                      </a:extLst>
                    </a:blip>
                    <a:srcRect t="8329" r="505" b="13506"/>
                    <a:stretch>
                      <a:fillRect/>
                    </a:stretch>
                  </pic:blipFill>
                  <pic:spPr>
                    <a:xfrm>
                      <a:off x="0" y="0"/>
                      <a:ext cx="5739515" cy="3377421"/>
                    </a:xfrm>
                    <a:prstGeom prst="rect">
                      <a:avLst/>
                    </a:prstGeom>
                    <a:noFill/>
                    <a:ln>
                      <a:noFill/>
                    </a:ln>
                  </pic:spPr>
                </pic:pic>
              </a:graphicData>
            </a:graphic>
          </wp:inline>
        </w:drawing>
      </w:r>
    </w:p>
    <w:p>
      <w:pPr>
        <w:ind w:firstLine="560"/>
        <w:rPr>
          <w:color w:val="000000"/>
        </w:rPr>
      </w:pPr>
    </w:p>
    <w:p>
      <w:pPr>
        <w:pStyle w:val="4"/>
        <w:spacing w:before="156" w:after="156"/>
        <w:ind w:firstLine="452"/>
      </w:pPr>
      <w:r>
        <w:rPr>
          <w:rFonts w:hint="eastAsia"/>
        </w:rPr>
        <w:t>（二）土地资源</w:t>
      </w:r>
    </w:p>
    <w:p>
      <w:pPr>
        <w:ind w:firstLine="560"/>
      </w:pPr>
      <w:r>
        <w:rPr>
          <w:rFonts w:hint="eastAsia"/>
        </w:rPr>
        <w:t>兴安县总面积</w:t>
      </w:r>
      <w:r>
        <w:rPr>
          <w:rFonts w:cs="Calibri"/>
        </w:rPr>
        <w:t>2348</w:t>
      </w:r>
      <w:r>
        <w:rPr>
          <w:rFonts w:hint="eastAsia"/>
        </w:rPr>
        <w:t>平方公里，耕地面积为</w:t>
      </w:r>
      <w:r>
        <w:rPr>
          <w:rFonts w:cs="Calibri"/>
        </w:rPr>
        <w:t>39.3</w:t>
      </w:r>
      <w:r>
        <w:rPr>
          <w:rFonts w:hint="eastAsia"/>
        </w:rPr>
        <w:t>万亩，水田面积</w:t>
      </w:r>
      <w:r>
        <w:rPr>
          <w:rFonts w:cs="Calibri"/>
        </w:rPr>
        <w:t>25.2</w:t>
      </w:r>
      <w:r>
        <w:rPr>
          <w:rFonts w:hint="eastAsia"/>
        </w:rPr>
        <w:t>万亩，旱地</w:t>
      </w:r>
      <w:r>
        <w:rPr>
          <w:rFonts w:cs="Calibri"/>
        </w:rPr>
        <w:t>7.1</w:t>
      </w:r>
      <w:r>
        <w:rPr>
          <w:rFonts w:hint="eastAsia"/>
        </w:rPr>
        <w:t>万亩。境内地形多样而复杂，西北和东南为山地，山峦重叠，沟谷溪流纵横。</w:t>
      </w:r>
    </w:p>
    <w:p>
      <w:pPr>
        <w:pStyle w:val="4"/>
        <w:spacing w:before="156" w:after="156"/>
        <w:ind w:firstLine="452"/>
      </w:pPr>
      <w:r>
        <w:rPr>
          <w:rFonts w:hint="eastAsia"/>
        </w:rPr>
        <w:t>（三）森林资源</w:t>
      </w:r>
    </w:p>
    <w:p>
      <w:pPr>
        <w:ind w:firstLine="560"/>
      </w:pPr>
      <w:r>
        <w:t>兴安县内森林植被主要属落叶阔叶林带与常绿阔叶林的过渡地带，</w:t>
      </w:r>
      <w:r>
        <w:rPr>
          <w:rFonts w:hint="eastAsia"/>
        </w:rPr>
        <w:t>据有关调查资料表明，全县维管束植物共有202科691属1720种，属国家一级的有5种，二级19种，三级8种。脊椎动物共有311种，隶属5纲，29目，89科，206属，其中国家一级保护的有4种，国家二级保护的有32种，国家有益的有155种。</w:t>
      </w:r>
      <w:r>
        <w:t>海拔在1800米以上山区以</w:t>
      </w:r>
      <w:r>
        <w:fldChar w:fldCharType="begin"/>
      </w:r>
      <w:r>
        <w:instrText xml:space="preserve"> HYPERLINK "https://baike.baidu.com/item/%E9%9D%92%E5%B2%97%E6%A0%8E" \t "_blank" </w:instrText>
      </w:r>
      <w:r>
        <w:fldChar w:fldCharType="separate"/>
      </w:r>
      <w:r>
        <w:t>青岗栎</w:t>
      </w:r>
      <w:r>
        <w:fldChar w:fldCharType="end"/>
      </w:r>
      <w:r>
        <w:t>、</w:t>
      </w:r>
      <w:r>
        <w:fldChar w:fldCharType="begin"/>
      </w:r>
      <w:r>
        <w:instrText xml:space="preserve"> HYPERLINK "https://baike.baidu.com/item/%E9%AB%98%E5%B1%B1%E6%9D%9C%E9%B9%83" \t "_blank" </w:instrText>
      </w:r>
      <w:r>
        <w:fldChar w:fldCharType="separate"/>
      </w:r>
      <w:r>
        <w:t>高山杜鹃</w:t>
      </w:r>
      <w:r>
        <w:fldChar w:fldCharType="end"/>
      </w:r>
      <w:r>
        <w:t>、</w:t>
      </w:r>
      <w:r>
        <w:fldChar w:fldCharType="begin"/>
      </w:r>
      <w:r>
        <w:instrText xml:space="preserve"> HYPERLINK "https://baike.baidu.com/item/%E9%87%8E%E5%85%AB%E8%A7%92" \t "_blank" </w:instrText>
      </w:r>
      <w:r>
        <w:fldChar w:fldCharType="separate"/>
      </w:r>
      <w:r>
        <w:t>野八角</w:t>
      </w:r>
      <w:r>
        <w:fldChar w:fldCharType="end"/>
      </w:r>
      <w:r>
        <w:t>和华南铁杉及</w:t>
      </w:r>
      <w:r>
        <w:fldChar w:fldCharType="begin"/>
      </w:r>
      <w:r>
        <w:instrText xml:space="preserve"> HYPERLINK "https://baike.baidu.com/item/%E5%8E%9A%E6%9C%B4/405699" \t "_blank" </w:instrText>
      </w:r>
      <w:r>
        <w:fldChar w:fldCharType="separate"/>
      </w:r>
      <w:r>
        <w:t>厚朴</w:t>
      </w:r>
      <w:r>
        <w:fldChar w:fldCharType="end"/>
      </w:r>
      <w:r>
        <w:t>、</w:t>
      </w:r>
      <w:r>
        <w:fldChar w:fldCharType="begin"/>
      </w:r>
      <w:r>
        <w:instrText xml:space="preserve"> HYPERLINK "https://baike.baidu.com/item/%E7%B4%AB%E6%AA%80%E6%9C%A8" \t "_blank" </w:instrText>
      </w:r>
      <w:r>
        <w:fldChar w:fldCharType="separate"/>
      </w:r>
      <w:r>
        <w:t>紫檀木</w:t>
      </w:r>
      <w:r>
        <w:fldChar w:fldCharType="end"/>
      </w:r>
      <w:r>
        <w:t>等阔叶矮林；海拔1000米至1800米为常绿槠栲、水青岗和椎栎木等；海拔1000米以下为</w:t>
      </w:r>
      <w:r>
        <w:fldChar w:fldCharType="begin"/>
      </w:r>
      <w:r>
        <w:instrText xml:space="preserve"> HYPERLINK "https://baike.baidu.com/item/%E6%9D%89%E6%9C%A8" \t "_blank" </w:instrText>
      </w:r>
      <w:r>
        <w:fldChar w:fldCharType="separate"/>
      </w:r>
      <w:r>
        <w:t>杉木</w:t>
      </w:r>
      <w:r>
        <w:fldChar w:fldCharType="end"/>
      </w:r>
      <w:r>
        <w:t>、</w:t>
      </w:r>
      <w:r>
        <w:fldChar w:fldCharType="begin"/>
      </w:r>
      <w:r>
        <w:instrText xml:space="preserve"> HYPERLINK "https://baike.baidu.com/item/%E9%A9%AC%E5%B0%BE%E6%9D%BE" \t "_blank" </w:instrText>
      </w:r>
      <w:r>
        <w:fldChar w:fldCharType="separate"/>
      </w:r>
      <w:r>
        <w:t>马尾松</w:t>
      </w:r>
      <w:r>
        <w:fldChar w:fldCharType="end"/>
      </w:r>
      <w:r>
        <w:t>、</w:t>
      </w:r>
      <w:r>
        <w:fldChar w:fldCharType="begin"/>
      </w:r>
      <w:r>
        <w:instrText xml:space="preserve"> HYPERLINK "https://baike.baidu.com/item/%E6%AF%9B%E7%AB%B9/3744" \t "_blank" </w:instrText>
      </w:r>
      <w:r>
        <w:fldChar w:fldCharType="separate"/>
      </w:r>
      <w:r>
        <w:t>毛竹</w:t>
      </w:r>
      <w:r>
        <w:fldChar w:fldCharType="end"/>
      </w:r>
      <w:r>
        <w:t>、</w:t>
      </w:r>
      <w:r>
        <w:fldChar w:fldCharType="begin"/>
      </w:r>
      <w:r>
        <w:instrText xml:space="preserve"> HYPERLINK "https://baike.baidu.com/item/%E6%B2%B9%E6%A1%90/1035800" \t "_blank" </w:instrText>
      </w:r>
      <w:r>
        <w:fldChar w:fldCharType="separate"/>
      </w:r>
      <w:r>
        <w:t>油桐</w:t>
      </w:r>
      <w:r>
        <w:fldChar w:fldCharType="end"/>
      </w:r>
      <w:r>
        <w:t>、</w:t>
      </w:r>
      <w:r>
        <w:fldChar w:fldCharType="begin"/>
      </w:r>
      <w:r>
        <w:instrText xml:space="preserve"> HYPERLINK "https://baike.baidu.com/item/%E6%B2%B9%E8%8C%B6/6006" \t "_blank" </w:instrText>
      </w:r>
      <w:r>
        <w:fldChar w:fldCharType="separate"/>
      </w:r>
      <w:r>
        <w:t>油茶</w:t>
      </w:r>
      <w:r>
        <w:fldChar w:fldCharType="end"/>
      </w:r>
      <w:r>
        <w:t>、</w:t>
      </w:r>
      <w:r>
        <w:fldChar w:fldCharType="begin"/>
      </w:r>
      <w:r>
        <w:instrText xml:space="preserve"> HYPERLINK "https://baike.baidu.com/item/%E7%99%BD%E6%9E%9C/853977" \t "_blank" </w:instrText>
      </w:r>
      <w:r>
        <w:fldChar w:fldCharType="separate"/>
      </w:r>
      <w:r>
        <w:t>白果</w:t>
      </w:r>
      <w:r>
        <w:fldChar w:fldCharType="end"/>
      </w:r>
      <w:r>
        <w:t>、</w:t>
      </w:r>
      <w:r>
        <w:fldChar w:fldCharType="begin"/>
      </w:r>
      <w:r>
        <w:instrText xml:space="preserve"> HYPERLINK "https://baike.baidu.com/item/%E6%9F%91%E6%A1%94" \t "_blank" </w:instrText>
      </w:r>
      <w:r>
        <w:fldChar w:fldCharType="separate"/>
      </w:r>
      <w:r>
        <w:t>柑桔</w:t>
      </w:r>
      <w:r>
        <w:fldChar w:fldCharType="end"/>
      </w:r>
      <w:r>
        <w:t>等。</w:t>
      </w:r>
    </w:p>
    <w:p>
      <w:pPr>
        <w:pStyle w:val="4"/>
        <w:spacing w:before="156" w:after="156"/>
        <w:ind w:firstLine="452"/>
      </w:pPr>
      <w:r>
        <w:rPr>
          <w:rFonts w:hint="eastAsia"/>
        </w:rPr>
        <w:t>（四）动植物资源</w:t>
      </w:r>
    </w:p>
    <w:p>
      <w:pPr>
        <w:ind w:firstLine="560"/>
      </w:pPr>
      <w:r>
        <w:t>县内野生动物资源丰富，种类繁多。由于乱猎滥捕，野生动物数量逐年减少，特别是虎、豹、麝、鸳鸯等今已少见。毒鱼、电鱼、炸鱼者屡禁不止，致使江河、水渠鱼源日渐枯竭。县内常见的动物有哺乳类、鸟类、鱼类、两栖类、爬行类、昆虫类，共127种</w:t>
      </w:r>
      <w:r>
        <w:rPr>
          <w:rFonts w:hint="eastAsia"/>
        </w:rPr>
        <w:t>。</w:t>
      </w:r>
    </w:p>
    <w:p>
      <w:pPr>
        <w:ind w:firstLine="560"/>
      </w:pPr>
      <w:r>
        <w:t>境内植物，计有用材类、药用类、油脂类、纤维类、水果类、饲料类、薪炭类、观赏类，共752种</w:t>
      </w:r>
      <w:r>
        <w:rPr>
          <w:rFonts w:hint="eastAsia"/>
        </w:rPr>
        <w:t>。</w:t>
      </w:r>
    </w:p>
    <w:p>
      <w:pPr>
        <w:pStyle w:val="2"/>
      </w:pPr>
      <w:r>
        <w:rPr>
          <w:color w:val="000000"/>
        </w:rPr>
        <w:br w:type="page"/>
      </w:r>
      <w:r>
        <w:fldChar w:fldCharType="begin"/>
      </w:r>
      <w:r>
        <w:instrText xml:space="preserve"> HYPERLINK \l "_Toc529132020" </w:instrText>
      </w:r>
      <w:r>
        <w:fldChar w:fldCharType="separate"/>
      </w:r>
      <w:bookmarkStart w:id="37" w:name="_Toc21594834"/>
      <w:bookmarkStart w:id="38" w:name="_Toc18417390"/>
      <w:r>
        <w:rPr>
          <w:rFonts w:hint="eastAsia"/>
        </w:rPr>
        <w:t>第三章 主导产业发展现状分析</w:t>
      </w:r>
      <w:bookmarkEnd w:id="37"/>
      <w:bookmarkEnd w:id="38"/>
      <w:r>
        <w:rPr>
          <w:rFonts w:hint="eastAsia"/>
        </w:rPr>
        <w:fldChar w:fldCharType="end"/>
      </w:r>
    </w:p>
    <w:p>
      <w:pPr>
        <w:pStyle w:val="3"/>
        <w:ind w:firstLine="643"/>
      </w:pPr>
      <w:r>
        <w:fldChar w:fldCharType="begin"/>
      </w:r>
      <w:r>
        <w:instrText xml:space="preserve"> HYPERLINK \l "_Toc529132021" </w:instrText>
      </w:r>
      <w:r>
        <w:fldChar w:fldCharType="separate"/>
      </w:r>
      <w:bookmarkStart w:id="39" w:name="_Toc21594835"/>
      <w:bookmarkStart w:id="40" w:name="_Toc18417391"/>
      <w:r>
        <w:rPr>
          <w:rFonts w:hint="eastAsia"/>
        </w:rPr>
        <w:t>一、主导产业种植现状</w:t>
      </w:r>
      <w:bookmarkEnd w:id="39"/>
      <w:bookmarkEnd w:id="40"/>
      <w:r>
        <w:rPr>
          <w:rFonts w:hint="eastAsia"/>
        </w:rPr>
        <w:fldChar w:fldCharType="end"/>
      </w:r>
    </w:p>
    <w:p>
      <w:pPr>
        <w:pStyle w:val="4"/>
        <w:spacing w:before="156" w:after="156"/>
        <w:ind w:firstLine="452"/>
      </w:pPr>
      <w:r>
        <w:rPr>
          <w:rFonts w:hint="eastAsia"/>
        </w:rPr>
        <w:t>（一）葡萄产业种植现状</w:t>
      </w:r>
    </w:p>
    <w:p>
      <w:pPr>
        <w:ind w:firstLine="560"/>
      </w:pPr>
      <w:r>
        <w:rPr>
          <w:rFonts w:hint="eastAsia"/>
        </w:rPr>
        <w:t>兴安县是华南地区最大的葡萄种植县、是广西最大的葡萄产区，是葡萄种植的第一大县，享有</w:t>
      </w:r>
      <w:r>
        <w:rPr>
          <w:rFonts w:ascii="宋体" w:hAnsi="宋体" w:cs="Calibri"/>
        </w:rPr>
        <w:t>“</w:t>
      </w:r>
      <w:r>
        <w:rPr>
          <w:rFonts w:hint="eastAsia"/>
        </w:rPr>
        <w:t>南方吐鲁番</w:t>
      </w:r>
      <w:r>
        <w:rPr>
          <w:rFonts w:ascii="宋体" w:hAnsi="宋体" w:cs="Calibri"/>
        </w:rPr>
        <w:t>”</w:t>
      </w:r>
      <w:r>
        <w:rPr>
          <w:rFonts w:hint="eastAsia"/>
        </w:rPr>
        <w:t>的美誉。兴安</w:t>
      </w:r>
      <w:r>
        <w:t>葡萄</w:t>
      </w:r>
      <w:r>
        <w:rPr>
          <w:rFonts w:hint="eastAsia"/>
        </w:rPr>
        <w:t>种植面积位居广西第一，据统计，</w:t>
      </w:r>
      <w:r>
        <w:rPr>
          <w:color w:val="000000" w:themeColor="text1"/>
          <w14:textFill>
            <w14:solidFill>
              <w14:schemeClr w14:val="tx1"/>
            </w14:solidFill>
          </w14:textFill>
        </w:rPr>
        <w:t>2018</w:t>
      </w:r>
      <w:r>
        <w:rPr>
          <w:rFonts w:hint="eastAsia"/>
          <w:color w:val="000000" w:themeColor="text1"/>
          <w14:textFill>
            <w14:solidFill>
              <w14:schemeClr w14:val="tx1"/>
            </w14:solidFill>
          </w14:textFill>
        </w:rPr>
        <w:t>年兴安县葡萄种植总面积14.6万亩，总产量</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3</w:t>
      </w:r>
      <w:r>
        <w:rPr>
          <w:rFonts w:hint="eastAsia"/>
        </w:rPr>
        <w:t>万吨，总产值</w:t>
      </w:r>
      <w:r>
        <w:t>1</w:t>
      </w:r>
      <w:r>
        <w:rPr>
          <w:rFonts w:hint="eastAsia"/>
        </w:rPr>
        <w:t>5</w:t>
      </w:r>
      <w:r>
        <w:t>.</w:t>
      </w:r>
      <w:r>
        <w:rPr>
          <w:rFonts w:hint="eastAsia"/>
        </w:rPr>
        <w:t>2亿元，已成为全县农业的支柱产业和农民收入的主要来源。</w:t>
      </w:r>
    </w:p>
    <w:p>
      <w:pPr>
        <w:ind w:firstLine="560"/>
      </w:pPr>
      <w:r>
        <w:rPr>
          <w:rFonts w:hint="eastAsia"/>
        </w:rPr>
        <w:t>品种主要以早熟葡萄夏黑、中熟葡萄巨峰、晚熟葡萄温克为主，早、中、晚品种比重约为</w:t>
      </w:r>
      <w:r>
        <w:t>1</w:t>
      </w:r>
      <w:r>
        <w:rPr>
          <w:rFonts w:hint="eastAsia"/>
        </w:rPr>
        <w:t>：</w:t>
      </w:r>
      <w:r>
        <w:t>7</w:t>
      </w:r>
      <w:r>
        <w:rPr>
          <w:rFonts w:hint="eastAsia"/>
        </w:rPr>
        <w:t>：</w:t>
      </w:r>
      <w:r>
        <w:t>2</w:t>
      </w:r>
      <w:r>
        <w:rPr>
          <w:rFonts w:hint="eastAsia"/>
        </w:rPr>
        <w:t>。兴安县灵渠葡萄产业（核心）示范区</w:t>
      </w:r>
      <w:r>
        <w:t>2015</w:t>
      </w:r>
      <w:r>
        <w:rPr>
          <w:rFonts w:hint="eastAsia"/>
        </w:rPr>
        <w:t>年</w:t>
      </w:r>
      <w:r>
        <w:t>1</w:t>
      </w:r>
      <w:r>
        <w:rPr>
          <w:rFonts w:hint="eastAsia"/>
        </w:rPr>
        <w:t>月被认定为广西首批五星级现代特色</w:t>
      </w:r>
      <w:r>
        <w:t>农业</w:t>
      </w:r>
      <w:r>
        <w:rPr>
          <w:rFonts w:hint="eastAsia"/>
        </w:rPr>
        <w:t>（</w:t>
      </w:r>
      <w:r>
        <w:t>核心</w:t>
      </w:r>
      <w:r>
        <w:rPr>
          <w:rFonts w:hint="eastAsia"/>
        </w:rPr>
        <w:t>）</w:t>
      </w:r>
      <w:r>
        <w:t>示范区</w:t>
      </w:r>
      <w:r>
        <w:rPr>
          <w:rFonts w:hint="eastAsia"/>
        </w:rPr>
        <w:t>，</w:t>
      </w:r>
      <w:r>
        <w:t>近年来，兴安县通过大力发展山地葡萄、旱地葡萄、反季节葡萄、特色礼品葡萄、酿酒葡萄，形成了一些特色优质果品产业化基地，部分产品供不应求。2004</w:t>
      </w:r>
      <w:r>
        <w:rPr>
          <w:rFonts w:hint="eastAsia"/>
        </w:rPr>
        <w:t>年、</w:t>
      </w:r>
      <w:r>
        <w:t>2007</w:t>
      </w:r>
      <w:r>
        <w:rPr>
          <w:rFonts w:hint="eastAsia"/>
        </w:rPr>
        <w:t>年兴安巨峰葡萄两次获得“广西农产品名牌新产品”称号；</w:t>
      </w:r>
      <w:r>
        <w:t>2008</w:t>
      </w:r>
      <w:r>
        <w:rPr>
          <w:rFonts w:hint="eastAsia"/>
        </w:rPr>
        <w:t>年，兴安被中国</w:t>
      </w:r>
      <w:r>
        <w:fldChar w:fldCharType="begin"/>
      </w:r>
      <w:r>
        <w:instrText xml:space="preserve"> HYPERLINK "http://shop.bytravel.cn/produce/679C54C1/" \t "_blank" </w:instrText>
      </w:r>
      <w:r>
        <w:fldChar w:fldCharType="separate"/>
      </w:r>
      <w:r>
        <w:rPr>
          <w:rFonts w:hint="eastAsia"/>
        </w:rPr>
        <w:t>果品</w:t>
      </w:r>
      <w:r>
        <w:rPr>
          <w:rFonts w:hint="eastAsia"/>
        </w:rPr>
        <w:fldChar w:fldCharType="end"/>
      </w:r>
      <w:r>
        <w:rPr>
          <w:rFonts w:hint="eastAsia"/>
        </w:rPr>
        <w:t>流通协会评为“全国优质葡萄生产基地”；</w:t>
      </w:r>
      <w:r>
        <w:t>2011</w:t>
      </w:r>
      <w:r>
        <w:rPr>
          <w:rFonts w:hint="eastAsia"/>
        </w:rPr>
        <w:t>年溶江镇被评为“广西葡萄之乡”；</w:t>
      </w:r>
      <w:r>
        <w:t>2014</w:t>
      </w:r>
      <w:r>
        <w:rPr>
          <w:rFonts w:hint="eastAsia"/>
        </w:rPr>
        <w:t>年漠川乡被中国农学会葡萄分会授予“中国温克葡萄第一乡”光荣称号；201</w:t>
      </w:r>
      <w:r>
        <w:t>7</w:t>
      </w:r>
      <w:r>
        <w:rPr>
          <w:rFonts w:hint="eastAsia"/>
        </w:rPr>
        <w:t>年成功登记为国家农产品地理标志产品等。</w:t>
      </w:r>
    </w:p>
    <w:p>
      <w:pPr>
        <w:ind w:firstLine="0" w:firstLineChars="0"/>
        <w:rPr>
          <w:color w:val="000000"/>
        </w:rPr>
      </w:pPr>
      <w:r>
        <w:rPr>
          <w:color w:val="000000"/>
        </w:rPr>
        <w:drawing>
          <wp:inline distT="0" distB="0" distL="0" distR="0">
            <wp:extent cx="2828925" cy="1946275"/>
            <wp:effectExtent l="0" t="0" r="0" b="0"/>
            <wp:docPr id="9" name="图片 9" descr="IMG_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26"/>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30000"/>
                              </a14:imgEffect>
                            </a14:imgLayer>
                          </a14:imgProps>
                        </a:ext>
                        <a:ext uri="{28A0092B-C50C-407E-A947-70E740481C1C}">
                          <a14:useLocalDpi xmlns:a14="http://schemas.microsoft.com/office/drawing/2010/main" val="0"/>
                        </a:ext>
                      </a:extLst>
                    </a:blip>
                    <a:srcRect/>
                    <a:stretch>
                      <a:fillRect/>
                    </a:stretch>
                  </pic:blipFill>
                  <pic:spPr>
                    <a:xfrm>
                      <a:off x="0" y="0"/>
                      <a:ext cx="2913410" cy="2004535"/>
                    </a:xfrm>
                    <a:prstGeom prst="rect">
                      <a:avLst/>
                    </a:prstGeom>
                    <a:noFill/>
                    <a:ln>
                      <a:noFill/>
                    </a:ln>
                  </pic:spPr>
                </pic:pic>
              </a:graphicData>
            </a:graphic>
          </wp:inline>
        </w:drawing>
      </w:r>
      <w:r>
        <w:rPr>
          <w:rFonts w:hint="eastAsia"/>
          <w:color w:val="000000"/>
        </w:rPr>
        <w:t xml:space="preserve"> </w:t>
      </w:r>
      <w:r>
        <w:rPr>
          <w:color w:val="000000"/>
        </w:rPr>
        <w:drawing>
          <wp:inline distT="0" distB="0" distL="0" distR="0">
            <wp:extent cx="3145155" cy="192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201573" cy="1960951"/>
                    </a:xfrm>
                    <a:prstGeom prst="rect">
                      <a:avLst/>
                    </a:prstGeom>
                  </pic:spPr>
                </pic:pic>
              </a:graphicData>
            </a:graphic>
          </wp:inline>
        </w:drawing>
      </w:r>
    </w:p>
    <w:p>
      <w:pPr>
        <w:pStyle w:val="4"/>
        <w:spacing w:before="156" w:after="156"/>
        <w:ind w:firstLine="452"/>
      </w:pPr>
      <w:r>
        <w:rPr>
          <w:rFonts w:hint="eastAsia"/>
        </w:rPr>
        <w:t>（二）银杏产业种植现状</w:t>
      </w:r>
    </w:p>
    <w:p>
      <w:pPr>
        <w:ind w:firstLine="560"/>
        <w:rPr>
          <w:color w:val="000000" w:themeColor="text1"/>
          <w:shd w:val="clear" w:color="auto" w:fill="FFFFFF"/>
          <w14:textFill>
            <w14:solidFill>
              <w14:schemeClr w14:val="tx1"/>
            </w14:solidFill>
          </w14:textFill>
        </w:rPr>
      </w:pPr>
      <w:r>
        <w:rPr>
          <w:rFonts w:hint="eastAsia"/>
          <w:color w:val="000000" w:themeColor="text1"/>
          <w:shd w:val="clear" w:color="auto" w:fill="FFFFFF"/>
          <w14:textFill>
            <w14:solidFill>
              <w14:schemeClr w14:val="tx1"/>
            </w14:solidFill>
          </w14:textFill>
        </w:rPr>
        <w:t>白果产业曾经是兴安县的传统优势产业，20世纪90年代达到了产业发展的鼎盛时期，种植面积达19.5万亩，年均年产量3000吨，产量仅次于江苏的泰兴县，居全国第二位，但是近些年却成为了兴安县农业产业发展的一块短板，白果价格一直处于低谷。2018年</w:t>
      </w:r>
      <w:r>
        <w:rPr>
          <w:color w:val="000000" w:themeColor="text1"/>
          <w:shd w:val="clear" w:color="auto" w:fill="FFFFFF"/>
          <w14:textFill>
            <w14:solidFill>
              <w14:schemeClr w14:val="tx1"/>
            </w14:solidFill>
          </w14:textFill>
        </w:rPr>
        <w:t>，</w:t>
      </w:r>
      <w:r>
        <w:rPr>
          <w:rFonts w:hint="eastAsia"/>
          <w:color w:val="000000" w:themeColor="text1"/>
          <w14:textFill>
            <w14:solidFill>
              <w14:schemeClr w14:val="tx1"/>
            </w14:solidFill>
          </w14:textFill>
        </w:rPr>
        <w:t>银杏种植面积1</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万</w:t>
      </w:r>
      <w:r>
        <w:rPr>
          <w:color w:val="000000" w:themeColor="text1"/>
          <w14:textFill>
            <w14:solidFill>
              <w14:schemeClr w14:val="tx1"/>
            </w14:solidFill>
          </w14:textFill>
        </w:rPr>
        <w:t>亩</w:t>
      </w:r>
      <w:r>
        <w:rPr>
          <w:rFonts w:hint="eastAsia"/>
          <w:color w:val="000000" w:themeColor="text1"/>
          <w14:textFill>
            <w14:solidFill>
              <w14:schemeClr w14:val="tx1"/>
            </w14:solidFill>
          </w14:textFill>
        </w:rPr>
        <w:t>，目前银杏以</w:t>
      </w:r>
      <w:r>
        <w:rPr>
          <w:color w:val="000000" w:themeColor="text1"/>
          <w14:textFill>
            <w14:solidFill>
              <w14:schemeClr w14:val="tx1"/>
            </w14:solidFill>
          </w14:textFill>
        </w:rPr>
        <w:t>旅游</w:t>
      </w:r>
      <w:r>
        <w:rPr>
          <w:rFonts w:hint="eastAsia"/>
          <w:color w:val="000000" w:themeColor="text1"/>
          <w14:textFill>
            <w14:solidFill>
              <w14:schemeClr w14:val="tx1"/>
            </w14:solidFill>
          </w14:textFill>
        </w:rPr>
        <w:t>观光和加工</w:t>
      </w:r>
      <w:r>
        <w:rPr>
          <w:color w:val="000000" w:themeColor="text1"/>
          <w14:textFill>
            <w14:solidFill>
              <w14:schemeClr w14:val="tx1"/>
            </w14:solidFill>
          </w14:textFill>
        </w:rPr>
        <w:t>银杏酒为主</w:t>
      </w:r>
      <w:r>
        <w:rPr>
          <w:rFonts w:hint="eastAsia"/>
          <w:color w:val="000000" w:themeColor="text1"/>
          <w14:textFill>
            <w14:solidFill>
              <w14:schemeClr w14:val="tx1"/>
            </w14:solidFill>
          </w14:textFill>
        </w:rPr>
        <w:t>。</w:t>
      </w:r>
    </w:p>
    <w:p>
      <w:pPr>
        <w:ind w:firstLine="198" w:firstLineChars="71"/>
      </w:pPr>
      <w:r>
        <w:drawing>
          <wp:inline distT="0" distB="0" distL="0" distR="0">
            <wp:extent cx="2980055" cy="1903730"/>
            <wp:effectExtent l="0" t="0" r="0" b="1270"/>
            <wp:docPr id="10" name="图片 10" descr="bb3561764437450eb753a80c6091b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b3561764437450eb753a80c6091b0da"/>
                    <pic:cNvPicPr>
                      <a:picLocks noChangeAspect="1" noChangeArrowheads="1"/>
                    </pic:cNvPicPr>
                  </pic:nvPicPr>
                  <pic:blipFill>
                    <a:blip r:embed="rId32">
                      <a:extLst>
                        <a:ext uri="{28A0092B-C50C-407E-A947-70E740481C1C}">
                          <a14:useLocalDpi xmlns:a14="http://schemas.microsoft.com/office/drawing/2010/main" val="0"/>
                        </a:ext>
                      </a:extLst>
                    </a:blip>
                    <a:srcRect b="3992"/>
                    <a:stretch>
                      <a:fillRect/>
                    </a:stretch>
                  </pic:blipFill>
                  <pic:spPr>
                    <a:xfrm>
                      <a:off x="0" y="0"/>
                      <a:ext cx="2980055" cy="1904133"/>
                    </a:xfrm>
                    <a:prstGeom prst="rect">
                      <a:avLst/>
                    </a:prstGeom>
                    <a:noFill/>
                    <a:ln>
                      <a:noFill/>
                    </a:ln>
                  </pic:spPr>
                </pic:pic>
              </a:graphicData>
            </a:graphic>
          </wp:inline>
        </w:drawing>
      </w:r>
      <w:r>
        <w:t xml:space="preserve"> </w:t>
      </w:r>
      <w:r>
        <w:drawing>
          <wp:inline distT="0" distB="0" distL="0" distR="0">
            <wp:extent cx="2837815" cy="1900555"/>
            <wp:effectExtent l="0" t="0" r="635"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3" cstate="print">
                      <a:extLst>
                        <a:ext uri="{28A0092B-C50C-407E-A947-70E740481C1C}">
                          <a14:useLocalDpi xmlns:a14="http://schemas.microsoft.com/office/drawing/2010/main" val="0"/>
                        </a:ext>
                      </a:extLst>
                    </a:blip>
                    <a:srcRect t="4431"/>
                    <a:stretch>
                      <a:fillRect/>
                    </a:stretch>
                  </pic:blipFill>
                  <pic:spPr>
                    <a:xfrm>
                      <a:off x="0" y="0"/>
                      <a:ext cx="2850035" cy="1908709"/>
                    </a:xfrm>
                    <a:prstGeom prst="rect">
                      <a:avLst/>
                    </a:prstGeom>
                    <a:ln>
                      <a:noFill/>
                    </a:ln>
                  </pic:spPr>
                </pic:pic>
              </a:graphicData>
            </a:graphic>
          </wp:inline>
        </w:drawing>
      </w:r>
    </w:p>
    <w:p>
      <w:pPr>
        <w:ind w:firstLine="0" w:firstLineChars="0"/>
        <w:rPr>
          <w:color w:val="FF0000"/>
          <w:shd w:val="clear" w:color="auto" w:fill="FFFFFF"/>
        </w:rPr>
      </w:pPr>
    </w:p>
    <w:p>
      <w:pPr>
        <w:pStyle w:val="4"/>
        <w:spacing w:before="156" w:after="156"/>
        <w:ind w:firstLine="452"/>
      </w:pPr>
      <w:r>
        <w:rPr>
          <w:rFonts w:hint="eastAsia"/>
        </w:rPr>
        <w:t>（三）甜玉米产业种植现状</w:t>
      </w:r>
    </w:p>
    <w:p>
      <w:pPr>
        <w:ind w:firstLine="560"/>
        <w:rPr>
          <w:shd w:val="clear" w:color="auto" w:fill="FFFFFF"/>
        </w:rPr>
      </w:pPr>
      <w:r>
        <w:rPr>
          <w:shd w:val="clear" w:color="auto" w:fill="FFFFFF"/>
        </w:rPr>
        <w:t>2003年兴安县高尚镇引进台湾甜玉米品种华珍种植成功，带动了该县崔家、白石等乡镇甜玉米产业的发展</w:t>
      </w:r>
      <w:r>
        <w:rPr>
          <w:rFonts w:hint="eastAsia"/>
          <w:shd w:val="clear" w:color="auto" w:fill="FFFFFF"/>
        </w:rPr>
        <w:t>，</w:t>
      </w:r>
      <w:r>
        <w:rPr>
          <w:shd w:val="clear" w:color="auto" w:fill="FFFFFF"/>
        </w:rPr>
        <w:t>兴安县成为广西第二大甜玉米生产基地，年种植甜玉米7.5万</w:t>
      </w:r>
      <w:r>
        <w:rPr>
          <w:rFonts w:hint="eastAsia"/>
          <w:shd w:val="clear" w:color="auto" w:fill="FFFFFF"/>
        </w:rPr>
        <w:t>亩</w:t>
      </w:r>
      <w:r>
        <w:rPr>
          <w:shd w:val="clear" w:color="auto" w:fill="FFFFFF"/>
        </w:rPr>
        <w:t>，产鲜甜玉米7.5万</w:t>
      </w:r>
      <w:r>
        <w:rPr>
          <w:rFonts w:hint="eastAsia"/>
          <w:shd w:val="clear" w:color="auto" w:fill="FFFFFF"/>
        </w:rPr>
        <w:t>吨</w:t>
      </w:r>
      <w:r>
        <w:rPr>
          <w:shd w:val="clear" w:color="auto" w:fill="FFFFFF"/>
        </w:rPr>
        <w:t>，年总产值2.25亿元。</w:t>
      </w:r>
      <w:r>
        <w:rPr>
          <w:rFonts w:hint="eastAsia"/>
          <w:shd w:val="clear" w:color="auto" w:fill="FFFFFF"/>
        </w:rPr>
        <w:t>兴安县自2006年引进</w:t>
      </w:r>
      <w:r>
        <w:rPr>
          <w:shd w:val="clear" w:color="auto" w:fill="FFFFFF"/>
        </w:rPr>
        <w:t>1300.5</w:t>
      </w:r>
      <w:r>
        <w:rPr>
          <w:rFonts w:hint="eastAsia"/>
          <w:shd w:val="clear" w:color="auto" w:fill="FFFFFF"/>
        </w:rPr>
        <w:t>亩甜玉米试种获得成功，因其具有较好的市场和效益，推动了产业的发展，2014年发展到</w:t>
      </w:r>
      <w:r>
        <w:rPr>
          <w:shd w:val="clear" w:color="auto" w:fill="FFFFFF"/>
        </w:rPr>
        <w:t>10</w:t>
      </w:r>
      <w:r>
        <w:rPr>
          <w:rFonts w:hint="eastAsia"/>
          <w:shd w:val="clear" w:color="auto" w:fill="FFFFFF"/>
        </w:rPr>
        <w:t>万</w:t>
      </w:r>
      <w:r>
        <w:rPr>
          <w:shd w:val="clear" w:color="auto" w:fill="FFFFFF"/>
        </w:rPr>
        <w:t>亩</w:t>
      </w:r>
      <w:r>
        <w:rPr>
          <w:rFonts w:hint="eastAsia"/>
          <w:shd w:val="clear" w:color="auto" w:fill="FFFFFF"/>
        </w:rPr>
        <w:t>，兴安成为桂北最大的甜玉米生产基地；然而在甜玉米发展壮大的同时也存在着各地栽培技术不一、产量良莠不齐的问题。经县农业技术推广站几年的实践，探素出一套较好的甜玉米生产技术，将这一技术进行试验示范，以推动兴安县甜玉米产业向高产、优质、高效发展。</w:t>
      </w:r>
    </w:p>
    <w:p>
      <w:pPr>
        <w:ind w:firstLine="560"/>
      </w:pPr>
      <w:r>
        <w:rPr>
          <w:rFonts w:hint="eastAsia"/>
          <w:szCs w:val="28"/>
        </w:rPr>
        <w:t>兴安县是广西重要的鲜食玉米种植生产大县之一，是广西第二大鲜食玉米生产基地，也是桂林市重要的鲜食玉米种植生产大县，鲜食玉米成为兴安县农业的特色和亮点产业。</w:t>
      </w:r>
      <w:r>
        <w:rPr>
          <w:rFonts w:hint="eastAsia"/>
        </w:rPr>
        <w:t>全县每年甜玉米生产面积保持在8－10万亩。种植方式有三种，一是一季稻后鲜食玉米，面积6万亩，占种植面积70</w:t>
      </w:r>
      <w:r>
        <w:t>%</w:t>
      </w:r>
      <w:r>
        <w:rPr>
          <w:rFonts w:hint="eastAsia"/>
        </w:rPr>
        <w:t>以上；二是春秋种植一季鲜食玉米；三是春夏秋三季鲜食玉米。产业集中区在高尚镇，每年种植面积占全县60%以上，探索形式“水稻－鲜食玉米－菜（菜心）－花（休闲观赏菜花）－肥”绿色循环高效种植模式。种植技术成熟，亩产量普遍能达到1500公斤左右，正常年份可亩产值4000元。</w:t>
      </w:r>
      <w:r>
        <w:t>2018</w:t>
      </w:r>
      <w:r>
        <w:rPr>
          <w:rFonts w:hint="eastAsia"/>
        </w:rPr>
        <w:t>年全县种植甜玉米约</w:t>
      </w:r>
      <w:r>
        <w:t>11</w:t>
      </w:r>
      <w:r>
        <w:rPr>
          <w:rFonts w:hint="eastAsia"/>
        </w:rPr>
        <w:t>万亩，总产量</w:t>
      </w:r>
      <w:r>
        <w:t>10.5</w:t>
      </w:r>
      <w:r>
        <w:rPr>
          <w:rFonts w:hint="eastAsia"/>
        </w:rPr>
        <w:t>万吨。</w:t>
      </w:r>
      <w:r>
        <w:t>2018</w:t>
      </w:r>
      <w:r>
        <w:rPr>
          <w:rFonts w:hint="eastAsia"/>
        </w:rPr>
        <w:t>年</w:t>
      </w:r>
      <w:r>
        <w:t>12</w:t>
      </w:r>
      <w:r>
        <w:rPr>
          <w:rFonts w:hint="eastAsia"/>
        </w:rPr>
        <w:t>月，兴安县金满田园粮食产业示范区被认定为自治区四星级现代特色农业核心示范区；2019年高尚镇甜玉米</w:t>
      </w:r>
      <w:r>
        <w:t>获得</w:t>
      </w:r>
      <w:r>
        <w:rPr>
          <w:rFonts w:hint="eastAsia"/>
        </w:rPr>
        <w:t>绿色</w:t>
      </w:r>
      <w:r>
        <w:t>食品认证</w:t>
      </w:r>
      <w:r>
        <w:rPr>
          <w:rFonts w:hint="eastAsia"/>
        </w:rPr>
        <w:t>等称号</w:t>
      </w:r>
      <w:r>
        <w:t>。</w:t>
      </w:r>
    </w:p>
    <w:p>
      <w:pPr>
        <w:ind w:firstLine="0" w:firstLineChars="0"/>
        <w:rPr>
          <w:color w:val="FF0000"/>
          <w:shd w:val="clear" w:color="auto" w:fill="FFFFFF"/>
        </w:rPr>
      </w:pPr>
      <w:r>
        <w:drawing>
          <wp:inline distT="0" distB="0" distL="0" distR="0">
            <wp:extent cx="3679190" cy="2485390"/>
            <wp:effectExtent l="0" t="0" r="0" b="0"/>
            <wp:docPr id="22" name="图片 22" descr="ac77034849bca235e9c5d98034cbf0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ac77034849bca235e9c5d98034cbf0c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714135" cy="2509562"/>
                    </a:xfrm>
                    <a:prstGeom prst="rect">
                      <a:avLst/>
                    </a:prstGeom>
                    <a:noFill/>
                    <a:ln>
                      <a:noFill/>
                    </a:ln>
                  </pic:spPr>
                </pic:pic>
              </a:graphicData>
            </a:graphic>
          </wp:inline>
        </w:drawing>
      </w:r>
      <w:r>
        <w:rPr>
          <w:rFonts w:hint="eastAsia"/>
          <w:color w:val="FF0000"/>
          <w:shd w:val="clear" w:color="auto" w:fill="FFFFFF"/>
        </w:rPr>
        <w:t xml:space="preserve"> </w:t>
      </w:r>
      <w:r>
        <w:rPr>
          <w:color w:val="FF0000"/>
          <w:shd w:val="clear" w:color="auto" w:fill="FFFFFF"/>
        </w:rPr>
        <w:drawing>
          <wp:inline distT="0" distB="0" distL="0" distR="0">
            <wp:extent cx="2314575" cy="308610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24369" cy="3099158"/>
                    </a:xfrm>
                    <a:prstGeom prst="rect">
                      <a:avLst/>
                    </a:prstGeom>
                  </pic:spPr>
                </pic:pic>
              </a:graphicData>
            </a:graphic>
          </wp:inline>
        </w:drawing>
      </w:r>
    </w:p>
    <w:p>
      <w:pPr>
        <w:ind w:firstLine="0" w:firstLineChars="0"/>
        <w:rPr>
          <w:color w:val="FF0000"/>
          <w:shd w:val="clear" w:color="auto" w:fill="FFFFFF"/>
        </w:rPr>
      </w:pPr>
    </w:p>
    <w:p>
      <w:pPr>
        <w:ind w:firstLine="0" w:firstLineChars="0"/>
        <w:rPr>
          <w:color w:val="FF0000"/>
          <w:shd w:val="clear" w:color="auto" w:fill="FFFFFF"/>
        </w:rPr>
      </w:pPr>
    </w:p>
    <w:p>
      <w:pPr>
        <w:pStyle w:val="4"/>
        <w:spacing w:before="156" w:after="156"/>
        <w:ind w:firstLine="452"/>
      </w:pPr>
      <w:r>
        <w:rPr>
          <w:rFonts w:hint="eastAsia"/>
        </w:rPr>
        <w:t>（四）柑桔产业种植现状</w:t>
      </w:r>
    </w:p>
    <w:p>
      <w:pPr>
        <w:ind w:firstLine="560"/>
        <w:rPr>
          <w:rFonts w:asciiTheme="minorEastAsia" w:hAnsiTheme="minorEastAsia" w:eastAsiaTheme="minorEastAsia" w:cstheme="minorEastAsia"/>
        </w:rPr>
      </w:pPr>
      <w:r>
        <w:rPr>
          <w:rFonts w:hint="eastAsia" w:asciiTheme="minorEastAsia" w:hAnsiTheme="minorEastAsia" w:eastAsiaTheme="minorEastAsia" w:cstheme="minorEastAsia"/>
        </w:rPr>
        <w:t>兴安县是全国柑桔商品生产基地县，从1968年开始引种柑桔，到上世纪八、</w:t>
      </w:r>
      <w:r>
        <w:rPr>
          <w:rFonts w:hint="eastAsia"/>
        </w:rPr>
        <w:t>九十年代，全县柑桔产业曾辉煌一时，总面积达</w:t>
      </w:r>
      <w:r>
        <w:rPr>
          <w:rFonts w:ascii="宋体" w:hAnsi="宋体"/>
        </w:rPr>
        <w:t>13.5</w:t>
      </w:r>
      <w:r>
        <w:rPr>
          <w:rFonts w:hint="eastAsia"/>
        </w:rPr>
        <w:t>万亩，总产量达</w:t>
      </w:r>
      <w:r>
        <w:rPr>
          <w:rFonts w:ascii="宋体" w:hAnsi="宋体"/>
        </w:rPr>
        <w:t>15</w:t>
      </w:r>
      <w:r>
        <w:rPr>
          <w:rFonts w:hint="eastAsia"/>
        </w:rPr>
        <w:t>万吨，</w:t>
      </w:r>
      <w:r>
        <w:rPr>
          <w:rFonts w:hint="eastAsia" w:asciiTheme="minorEastAsia" w:hAnsiTheme="minorEastAsia" w:eastAsiaTheme="minorEastAsia" w:cstheme="minorEastAsia"/>
        </w:rPr>
        <w:t>整整一代兴安人依此而走向致富之路。九十</w:t>
      </w:r>
      <w:r>
        <w:rPr>
          <w:rFonts w:hint="eastAsia" w:asciiTheme="minorEastAsia" w:hAnsiTheme="minorEastAsia" w:eastAsiaTheme="minorEastAsia" w:cstheme="minorEastAsia"/>
          <w:lang w:eastAsia="zh-CN"/>
        </w:rPr>
        <w:t>年代末</w:t>
      </w:r>
      <w:r>
        <w:rPr>
          <w:rFonts w:hint="eastAsia" w:asciiTheme="minorEastAsia" w:hAnsiTheme="minorEastAsia" w:eastAsiaTheme="minorEastAsia" w:cstheme="minorEastAsia"/>
        </w:rPr>
        <w:t>期至二十世纪初，猖獗的柑桔黄龙病，给全县柑桔产业带来了毁灭性打击，2004年柑桔产业总量锐减到7万亩，产量</w:t>
      </w:r>
      <w:r>
        <w:rPr>
          <w:rFonts w:ascii="宋体" w:hAnsi="宋体"/>
        </w:rPr>
        <w:t>7.5</w:t>
      </w:r>
      <w:r>
        <w:rPr>
          <w:rFonts w:hint="eastAsia" w:asciiTheme="minorEastAsia" w:hAnsiTheme="minorEastAsia" w:eastAsiaTheme="minorEastAsia" w:cstheme="minorEastAsia"/>
        </w:rPr>
        <w:t>万吨，柑桔产业急剧下滑，走入低谷。针对这一情况，县委、县政府及时采取应对措施，加大力度对柑桔黄龙病进行综合治理，更新品种，调整种植结构，柑桔产业又得到了恢复性发展。柑桔产业重现第二春，产业已由单一品种（南丰蜜桔），逐步形成以砂糖桔、沃柑等多品种良性发展的局面。2016年兴安县柑桔种植面积13.68万亩、总产量15万吨，占全县水果种植面积的48%，总产值4.5亿元，占全县农林牧渔业总产值的8.4%。柑桔成为兴安农民增收的重要产业之一。</w:t>
      </w:r>
    </w:p>
    <w:p>
      <w:pPr>
        <w:ind w:firstLine="560"/>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2018年兴安县柑桔种植面积</w:t>
      </w:r>
      <w:r>
        <w:rPr>
          <w:rFonts w:hint="eastAsia" w:asciiTheme="minorEastAsia" w:hAnsiTheme="minorEastAsia" w:eastAsiaTheme="minorEastAsia" w:cstheme="minorEastAsia"/>
          <w:color w:val="000000" w:themeColor="text1"/>
          <w:szCs w:val="32"/>
          <w14:textFill>
            <w14:solidFill>
              <w14:schemeClr w14:val="tx1"/>
            </w14:solidFill>
          </w14:textFill>
        </w:rPr>
        <w:t>17万亩</w:t>
      </w:r>
      <w:r>
        <w:rPr>
          <w:rFonts w:hint="eastAsia" w:asciiTheme="minorEastAsia" w:hAnsiTheme="minorEastAsia" w:eastAsiaTheme="minorEastAsia" w:cstheme="minorEastAsia"/>
          <w:color w:val="000000" w:themeColor="text1"/>
          <w14:textFill>
            <w14:solidFill>
              <w14:schemeClr w14:val="tx1"/>
            </w14:solidFill>
          </w14:textFill>
        </w:rPr>
        <w:t>，总产量21万吨，总产值达6亿元。</w:t>
      </w:r>
      <w:r>
        <w:rPr>
          <w:rFonts w:hint="eastAsia"/>
          <w:color w:val="000000"/>
        </w:rPr>
        <w:t xml:space="preserve"> </w:t>
      </w:r>
      <w:r>
        <w:rPr>
          <w:color w:val="000000"/>
        </w:rPr>
        <w:drawing>
          <wp:inline distT="0" distB="0" distL="0" distR="0">
            <wp:extent cx="3073400" cy="2048510"/>
            <wp:effectExtent l="0" t="0" r="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80216" cy="2053477"/>
                    </a:xfrm>
                    <a:prstGeom prst="rect">
                      <a:avLst/>
                    </a:prstGeom>
                  </pic:spPr>
                </pic:pic>
              </a:graphicData>
            </a:graphic>
          </wp:inline>
        </w:drawing>
      </w:r>
      <w:r>
        <w:rPr>
          <w:color w:val="000000"/>
        </w:rPr>
        <w:t xml:space="preserve"> </w:t>
      </w:r>
      <w:r>
        <w:rPr>
          <w:rFonts w:asciiTheme="minorEastAsia" w:hAnsiTheme="minorEastAsia" w:eastAsiaTheme="minorEastAsia" w:cstheme="minorEastAsia"/>
          <w:color w:val="000000" w:themeColor="text1"/>
          <w14:textFill>
            <w14:solidFill>
              <w14:schemeClr w14:val="tx1"/>
            </w14:solidFill>
          </w14:textFill>
        </w:rPr>
        <w:drawing>
          <wp:inline distT="0" distB="0" distL="0" distR="0">
            <wp:extent cx="2753995" cy="2065655"/>
            <wp:effectExtent l="0" t="0" r="825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789214" cy="2091910"/>
                    </a:xfrm>
                    <a:prstGeom prst="rect">
                      <a:avLst/>
                    </a:prstGeom>
                  </pic:spPr>
                </pic:pic>
              </a:graphicData>
            </a:graphic>
          </wp:inline>
        </w:drawing>
      </w:r>
    </w:p>
    <w:p>
      <w:pPr>
        <w:ind w:firstLine="560"/>
        <w:rPr>
          <w:color w:val="000000"/>
        </w:rPr>
      </w:pPr>
    </w:p>
    <w:p>
      <w:pPr>
        <w:ind w:firstLine="560"/>
        <w:rPr>
          <w:color w:val="000000"/>
        </w:rPr>
      </w:pPr>
    </w:p>
    <w:p>
      <w:pPr>
        <w:ind w:firstLine="560"/>
        <w:rPr>
          <w:color w:val="000000"/>
        </w:rPr>
      </w:pPr>
    </w:p>
    <w:p>
      <w:pPr>
        <w:pStyle w:val="4"/>
        <w:spacing w:before="156" w:after="156"/>
        <w:ind w:firstLine="452"/>
      </w:pPr>
      <w:r>
        <w:rPr>
          <w:rFonts w:hint="eastAsia"/>
        </w:rPr>
        <w:t>（五）食用菌产业种植现状</w:t>
      </w:r>
    </w:p>
    <w:p>
      <w:pPr>
        <w:ind w:firstLine="560"/>
      </w:pPr>
      <w:r>
        <w:rPr>
          <w:color w:val="000000" w:themeColor="text1"/>
          <w14:textFill>
            <w14:solidFill>
              <w14:schemeClr w14:val="tx1"/>
            </w14:solidFill>
          </w14:textFill>
        </w:rPr>
        <w:t>2018年</w:t>
      </w:r>
      <w:r>
        <w:rPr>
          <w:rFonts w:hint="eastAsia"/>
          <w:color w:val="000000" w:themeColor="text1"/>
          <w14:textFill>
            <w14:solidFill>
              <w14:schemeClr w14:val="tx1"/>
            </w14:solidFill>
          </w14:textFill>
        </w:rPr>
        <w:t>，兴安</w:t>
      </w:r>
      <w:r>
        <w:rPr>
          <w:color w:val="000000" w:themeColor="text1"/>
          <w14:textFill>
            <w14:solidFill>
              <w14:schemeClr w14:val="tx1"/>
            </w14:solidFill>
          </w14:textFill>
        </w:rPr>
        <w:t>县种植</w:t>
      </w:r>
      <w:r>
        <w:rPr>
          <w:rFonts w:hint="eastAsia"/>
          <w:color w:val="000000" w:themeColor="text1"/>
          <w14:textFill>
            <w14:solidFill>
              <w14:schemeClr w14:val="tx1"/>
            </w14:solidFill>
          </w14:textFill>
        </w:rPr>
        <w:t>食用菌560万平方米，每平方米单产8.9公斤，总产4984万公斤，产值3亿元。</w:t>
      </w:r>
      <w:r>
        <w:rPr>
          <w:rFonts w:hint="eastAsia"/>
        </w:rPr>
        <w:t>用菌产业种植</w:t>
      </w:r>
      <w:r>
        <w:rPr>
          <w:rFonts w:hint="eastAsia"/>
          <w:color w:val="000000" w:themeColor="text1"/>
          <w14:textFill>
            <w14:solidFill>
              <w14:schemeClr w14:val="tx1"/>
            </w14:solidFill>
          </w14:textFill>
        </w:rPr>
        <w:t>以黑</w:t>
      </w:r>
      <w:r>
        <w:rPr>
          <w:color w:val="000000" w:themeColor="text1"/>
          <w14:textFill>
            <w14:solidFill>
              <w14:schemeClr w14:val="tx1"/>
            </w14:solidFill>
          </w14:textFill>
        </w:rPr>
        <w:t>木耳为主，</w:t>
      </w:r>
      <w:r>
        <w:rPr>
          <w:rFonts w:hint="eastAsia"/>
          <w:color w:val="000000" w:themeColor="text1"/>
          <w14:textFill>
            <w14:solidFill>
              <w14:schemeClr w14:val="tx1"/>
            </w14:solidFill>
          </w14:textFill>
        </w:rPr>
        <w:t>其他</w:t>
      </w:r>
      <w:r>
        <w:rPr>
          <w:rFonts w:hint="eastAsia"/>
        </w:rPr>
        <w:t>品种有黑木耳、毛木耳、云耳</w:t>
      </w:r>
      <w:r>
        <w:t>、</w:t>
      </w:r>
      <w:r>
        <w:rPr>
          <w:rFonts w:hint="eastAsia"/>
        </w:rPr>
        <w:t>反季节秀珍菇、香菇、平菇、鸡腿菇、凤尾菇</w:t>
      </w:r>
      <w:r>
        <w:t>、</w:t>
      </w:r>
      <w:r>
        <w:rPr>
          <w:rFonts w:hint="eastAsia"/>
        </w:rPr>
        <w:t>茶树菇、姬菇、灵芝、双孢蘑菇等十多个品种。主推的高产高效技术及模式有岩洞反季节双孢蘑菇高产高效集成技术、葡萄枝栽培反季节秀珍菇、露地及设施黑木耳栽培技术等，促进食用菌生产规模化、产业化发展。</w:t>
      </w:r>
      <w:r>
        <w:t>2012</w:t>
      </w:r>
      <w:r>
        <w:rPr>
          <w:rFonts w:hint="eastAsia"/>
        </w:rPr>
        <w:t>年兴安县被广西农业厅授予</w:t>
      </w:r>
      <w:r>
        <w:rPr>
          <w:rFonts w:ascii="宋体" w:hAnsi="宋体"/>
        </w:rPr>
        <w:t>“</w:t>
      </w:r>
      <w:r>
        <w:rPr>
          <w:rFonts w:hint="eastAsia"/>
        </w:rPr>
        <w:t>广西食用菌产业发展十强县</w:t>
      </w:r>
      <w:r>
        <w:rPr>
          <w:rFonts w:ascii="宋体" w:hAnsi="宋体"/>
        </w:rPr>
        <w:t>”</w:t>
      </w:r>
      <w:r>
        <w:rPr>
          <w:rFonts w:hint="eastAsia"/>
        </w:rPr>
        <w:t>称号。</w:t>
      </w:r>
    </w:p>
    <w:p>
      <w:pPr>
        <w:ind w:firstLine="198" w:firstLineChars="71"/>
        <w:rPr>
          <w:rFonts w:ascii="宋体" w:hAnsi="宋体" w:cs="宋体"/>
          <w:color w:val="FF0000"/>
        </w:rPr>
      </w:pPr>
      <w:r>
        <w:drawing>
          <wp:inline distT="0" distB="0" distL="0" distR="0">
            <wp:extent cx="2830830" cy="1887220"/>
            <wp:effectExtent l="0" t="0" r="7620" b="0"/>
            <wp:docPr id="12" name="图片 12" descr="IMG_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440"/>
                    <pic:cNvPicPr>
                      <a:picLocks noChangeAspect="1" noChangeArrowheads="1"/>
                    </pic:cNvPicPr>
                  </pic:nvPicPr>
                  <pic:blipFill>
                    <a:blip r:embed="rId38" cstate="print">
                      <a:lum bright="12000"/>
                      <a:extLst>
                        <a:ext uri="{28A0092B-C50C-407E-A947-70E740481C1C}">
                          <a14:useLocalDpi xmlns:a14="http://schemas.microsoft.com/office/drawing/2010/main" val="0"/>
                        </a:ext>
                      </a:extLst>
                    </a:blip>
                    <a:srcRect/>
                    <a:stretch>
                      <a:fillRect/>
                    </a:stretch>
                  </pic:blipFill>
                  <pic:spPr>
                    <a:xfrm>
                      <a:off x="0" y="0"/>
                      <a:ext cx="2856137" cy="1904091"/>
                    </a:xfrm>
                    <a:prstGeom prst="rect">
                      <a:avLst/>
                    </a:prstGeom>
                    <a:noFill/>
                    <a:ln>
                      <a:noFill/>
                    </a:ln>
                  </pic:spPr>
                </pic:pic>
              </a:graphicData>
            </a:graphic>
          </wp:inline>
        </w:drawing>
      </w:r>
      <w:r>
        <w:rPr>
          <w:rFonts w:hint="eastAsia" w:ascii="宋体" w:hAnsi="宋体" w:cs="宋体"/>
          <w:color w:val="FF0000"/>
        </w:rPr>
        <w:t xml:space="preserve"> </w:t>
      </w:r>
      <w:r>
        <w:rPr>
          <w:rFonts w:ascii="宋体" w:hAnsi="宋体" w:cs="宋体"/>
          <w:color w:val="FF0000"/>
        </w:rPr>
        <w:drawing>
          <wp:inline distT="0" distB="0" distL="0" distR="0">
            <wp:extent cx="2863850" cy="1909445"/>
            <wp:effectExtent l="0" t="0" r="0" b="0"/>
            <wp:docPr id="15" name="图片 15" descr="E:\汤细蝶\2019年项目\10-兴安县特色农产品优势区规划2019-5-6\20190321 兴安县调研图片整理\食用菌种植生产\IMG_2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汤细蝶\2019年项目\10-兴安县特色农产品优势区规划2019-5-6\20190321 兴安县调研图片整理\食用菌种植生产\IMG_247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874613" cy="1916409"/>
                    </a:xfrm>
                    <a:prstGeom prst="rect">
                      <a:avLst/>
                    </a:prstGeom>
                    <a:noFill/>
                    <a:ln>
                      <a:noFill/>
                    </a:ln>
                  </pic:spPr>
                </pic:pic>
              </a:graphicData>
            </a:graphic>
          </wp:inline>
        </w:drawing>
      </w:r>
    </w:p>
    <w:p>
      <w:pPr>
        <w:ind w:firstLine="0" w:firstLineChars="0"/>
      </w:pPr>
    </w:p>
    <w:p>
      <w:pPr>
        <w:pStyle w:val="3"/>
        <w:ind w:firstLine="643"/>
      </w:pPr>
      <w:r>
        <w:fldChar w:fldCharType="begin"/>
      </w:r>
      <w:r>
        <w:instrText xml:space="preserve"> HYPERLINK \l "_Toc529132022" </w:instrText>
      </w:r>
      <w:r>
        <w:fldChar w:fldCharType="separate"/>
      </w:r>
      <w:bookmarkStart w:id="41" w:name="_Toc21594836"/>
      <w:bookmarkStart w:id="42" w:name="_Toc18417392"/>
      <w:r>
        <w:rPr>
          <w:rFonts w:hint="eastAsia"/>
        </w:rPr>
        <w:t>二、主导产业加工条件现状</w:t>
      </w:r>
      <w:bookmarkEnd w:id="41"/>
      <w:bookmarkEnd w:id="42"/>
      <w:r>
        <w:rPr>
          <w:rFonts w:hint="eastAsia"/>
        </w:rPr>
        <w:fldChar w:fldCharType="end"/>
      </w:r>
    </w:p>
    <w:p>
      <w:pPr>
        <w:pStyle w:val="4"/>
        <w:spacing w:before="156" w:after="156"/>
        <w:ind w:firstLine="452"/>
      </w:pPr>
      <w:r>
        <w:rPr>
          <w:rFonts w:hint="eastAsia"/>
        </w:rPr>
        <w:t>（一）葡萄产业加工条件现状</w:t>
      </w:r>
    </w:p>
    <w:p>
      <w:pPr>
        <w:ind w:firstLine="560"/>
      </w:pPr>
      <w:r>
        <w:rPr>
          <w:rFonts w:hint="eastAsia"/>
        </w:rPr>
        <w:t>葡萄产业是兴安农业的支柱产业，目前</w:t>
      </w:r>
      <w:r>
        <w:t>葡萄以鲜食为主</w:t>
      </w:r>
      <w:r>
        <w:rPr>
          <w:rFonts w:hint="eastAsia"/>
        </w:rPr>
        <w:t>，</w:t>
      </w:r>
      <w:r>
        <w:t>还</w:t>
      </w:r>
      <w:r>
        <w:rPr>
          <w:rFonts w:hint="eastAsia"/>
        </w:rPr>
        <w:t>没有初加工</w:t>
      </w:r>
      <w:r>
        <w:t>和深加工，</w:t>
      </w:r>
      <w:r>
        <w:rPr>
          <w:rFonts w:hint="eastAsia"/>
        </w:rPr>
        <w:t>为了</w:t>
      </w:r>
      <w:r>
        <w:t>更好的</w:t>
      </w:r>
      <w:r>
        <w:rPr>
          <w:rFonts w:hint="eastAsia"/>
        </w:rPr>
        <w:t>产业链</w:t>
      </w:r>
      <w:r>
        <w:t>发展，</w:t>
      </w:r>
      <w:r>
        <w:rPr>
          <w:rFonts w:hint="eastAsia"/>
        </w:rPr>
        <w:t>实现商品</w:t>
      </w:r>
      <w:r>
        <w:t>更大的效益</w:t>
      </w:r>
      <w:r>
        <w:rPr>
          <w:rFonts w:hint="eastAsia"/>
        </w:rPr>
        <w:t>化，</w:t>
      </w:r>
      <w:r>
        <w:t>应重点加强</w:t>
      </w:r>
      <w:r>
        <w:rPr>
          <w:rFonts w:hint="eastAsia"/>
        </w:rPr>
        <w:t>田头</w:t>
      </w:r>
      <w:r>
        <w:t>初加工、分级、包装、预冷等设施建设，提高优势产区葡萄采后商品化处理能力，延长葡萄保鲜期、减少损耗；发展贮藏保鲜、冷藏运输，推进跨地区长途调运的冷链物流配送体系建设，实现葡萄错峰销售。鼓励大型果品批发市场、连锁超市、葡萄流通企业、专业合作社等购置预冷、低温分拣加工、冷藏运输工具等冷链设施设备，加大冷库等冷链物流基础设施建设力度，积极培育具有一定规模的专业化葡萄冷链物流服务企业。</w:t>
      </w:r>
    </w:p>
    <w:p>
      <w:pPr>
        <w:pStyle w:val="4"/>
        <w:spacing w:before="156" w:after="156"/>
        <w:ind w:firstLine="452"/>
      </w:pPr>
      <w:r>
        <w:rPr>
          <w:rFonts w:hint="eastAsia"/>
        </w:rPr>
        <w:t>（二）银杏产业加工条件现状</w:t>
      </w:r>
    </w:p>
    <w:p>
      <w:pPr>
        <w:ind w:firstLine="560"/>
      </w:pPr>
      <w:r>
        <w:rPr>
          <w:rFonts w:hint="eastAsia"/>
        </w:rPr>
        <w:t>银杏树的果实俗称白果，因此银杏又名白果树。银杏树生长较慢，寿命极长，自然条件下从栽种到结银杏果要二十多年，四十年后才能大量结果。</w:t>
      </w:r>
      <w:r>
        <w:t>它由肉质外种皮、骨质中种皮、膜质内种皮、种仁组成。白果养生延年，银杏在宋代被列为皇家贡品。日本有每日食用白果的习惯。西方人圣诞节必备白果</w:t>
      </w:r>
      <w:r>
        <w:rPr>
          <w:rFonts w:hint="eastAsia"/>
        </w:rPr>
        <w:t>，</w:t>
      </w:r>
      <w:r>
        <w:t>就食用方式来看，银杏主要有炒食、烤食、煮食、配菜、糕点、蜜饯、罐头、饮料和酒类。有祛痰、止咳、润肺、定喘等功效，但大量进食后可引起中毒。</w:t>
      </w:r>
    </w:p>
    <w:p>
      <w:pPr>
        <w:ind w:firstLine="560"/>
      </w:pPr>
      <w:r>
        <w:rPr>
          <w:rFonts w:hint="eastAsia"/>
        </w:rPr>
        <w:t>兴安银杏种植以分散种植为主，成片种植所占比例极少，且近年银杏价格低迷，农户种植热情度不高，导致银杏种植管理力度不够，生产质量不高。目前银杏以</w:t>
      </w:r>
      <w:r>
        <w:t>加工银杏</w:t>
      </w:r>
      <w:r>
        <w:rPr>
          <w:rFonts w:hint="eastAsia"/>
        </w:rPr>
        <w:t>酒</w:t>
      </w:r>
      <w:r>
        <w:t>为主，</w:t>
      </w:r>
      <w:r>
        <w:rPr>
          <w:rFonts w:hint="eastAsia"/>
        </w:rPr>
        <w:t>没有精</w:t>
      </w:r>
      <w:r>
        <w:t>深加工</w:t>
      </w:r>
      <w:r>
        <w:rPr>
          <w:rFonts w:hint="eastAsia"/>
        </w:rPr>
        <w:t>，产业链延伸乏力，产品加工企业少，市场竞争力不强。兴安银杏应该从包装、价格以及营销和产业发展提档升级，提高银杏的品牌效应和市场竞争力，做大做强银杏产业、带动旅游业发展，带动农民增产增收。</w:t>
      </w:r>
    </w:p>
    <w:p>
      <w:pPr>
        <w:ind w:firstLine="198" w:firstLineChars="71"/>
        <w:rPr>
          <w:rFonts w:ascii="宋体" w:hAnsi="宋体" w:cs="宋体"/>
          <w:szCs w:val="28"/>
        </w:rPr>
      </w:pPr>
      <w:r>
        <w:rPr>
          <w:rFonts w:ascii="宋体" w:hAnsi="宋体" w:cs="宋体"/>
          <w:szCs w:val="28"/>
        </w:rPr>
        <w:drawing>
          <wp:inline distT="0" distB="0" distL="0" distR="0">
            <wp:extent cx="2923540" cy="2059305"/>
            <wp:effectExtent l="0" t="0" r="0" b="0"/>
            <wp:docPr id="13" name="图片 13" descr="IMG_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345"/>
                    <pic:cNvPicPr>
                      <a:picLocks noChangeAspect="1" noChangeArrowheads="1"/>
                    </pic:cNvPicPr>
                  </pic:nvPicPr>
                  <pic:blipFill>
                    <a:blip r:embed="rId40" cstate="print">
                      <a:lum bright="6000"/>
                      <a:extLst>
                        <a:ext uri="{28A0092B-C50C-407E-A947-70E740481C1C}">
                          <a14:useLocalDpi xmlns:a14="http://schemas.microsoft.com/office/drawing/2010/main" val="0"/>
                        </a:ext>
                      </a:extLst>
                    </a:blip>
                    <a:srcRect/>
                    <a:stretch>
                      <a:fillRect/>
                    </a:stretch>
                  </pic:blipFill>
                  <pic:spPr>
                    <a:xfrm>
                      <a:off x="0" y="0"/>
                      <a:ext cx="2930206" cy="2064535"/>
                    </a:xfrm>
                    <a:prstGeom prst="rect">
                      <a:avLst/>
                    </a:prstGeom>
                    <a:noFill/>
                    <a:ln>
                      <a:noFill/>
                    </a:ln>
                  </pic:spPr>
                </pic:pic>
              </a:graphicData>
            </a:graphic>
          </wp:inline>
        </w:drawing>
      </w:r>
      <w:r>
        <w:rPr>
          <w:rFonts w:ascii="宋体" w:hAnsi="宋体" w:cs="宋体"/>
          <w:szCs w:val="28"/>
        </w:rPr>
        <w:t xml:space="preserve"> </w:t>
      </w:r>
      <w:r>
        <w:rPr>
          <w:rFonts w:ascii="宋体" w:hAnsi="宋体" w:cs="宋体"/>
          <w:szCs w:val="28"/>
        </w:rPr>
        <w:drawing>
          <wp:inline distT="0" distB="0" distL="0" distR="0">
            <wp:extent cx="2942590" cy="2085340"/>
            <wp:effectExtent l="0" t="0" r="0" b="0"/>
            <wp:docPr id="14" name="图片 14" descr="IMG_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334"/>
                    <pic:cNvPicPr>
                      <a:picLocks noChangeAspect="1" noChangeArrowheads="1"/>
                    </pic:cNvPicPr>
                  </pic:nvPicPr>
                  <pic:blipFill>
                    <a:blip r:embed="rId41" cstate="print">
                      <a:lum bright="6000"/>
                      <a:extLst>
                        <a:ext uri="{28A0092B-C50C-407E-A947-70E740481C1C}">
                          <a14:useLocalDpi xmlns:a14="http://schemas.microsoft.com/office/drawing/2010/main" val="0"/>
                        </a:ext>
                      </a:extLst>
                    </a:blip>
                    <a:srcRect/>
                    <a:stretch>
                      <a:fillRect/>
                    </a:stretch>
                  </pic:blipFill>
                  <pic:spPr>
                    <a:xfrm>
                      <a:off x="0" y="0"/>
                      <a:ext cx="2951062" cy="2091575"/>
                    </a:xfrm>
                    <a:prstGeom prst="rect">
                      <a:avLst/>
                    </a:prstGeom>
                    <a:noFill/>
                    <a:ln>
                      <a:noFill/>
                    </a:ln>
                  </pic:spPr>
                </pic:pic>
              </a:graphicData>
            </a:graphic>
          </wp:inline>
        </w:drawing>
      </w:r>
    </w:p>
    <w:p>
      <w:pPr>
        <w:pStyle w:val="4"/>
        <w:spacing w:before="156" w:after="156"/>
        <w:ind w:firstLine="452"/>
      </w:pPr>
      <w:r>
        <w:rPr>
          <w:rFonts w:hint="eastAsia"/>
        </w:rPr>
        <w:t>（三）甜玉米产业加工条件现状</w:t>
      </w:r>
    </w:p>
    <w:p>
      <w:pPr>
        <w:ind w:firstLine="560"/>
      </w:pPr>
      <w:r>
        <w:rPr>
          <w:rFonts w:hint="eastAsia"/>
        </w:rPr>
        <w:t>兴安</w:t>
      </w:r>
      <w:r>
        <w:t>大力支持</w:t>
      </w:r>
      <w:r>
        <w:rPr>
          <w:rFonts w:hint="eastAsia"/>
        </w:rPr>
        <w:t>发展甜玉米产地初加工，</w:t>
      </w:r>
      <w:r>
        <w:t>秸秆加工</w:t>
      </w:r>
      <w:r>
        <w:rPr>
          <w:rFonts w:hint="eastAsia"/>
        </w:rPr>
        <w:t>，支持农民专业合作社、家庭农场、种植大户，改善储藏、保鲜、清选分级、包装等设施装备条件，促进商品化处理，减少产后损失。积极推广适用技术，因地制宜建设初加工设施，提升农产品初加工水平。同时加强</w:t>
      </w:r>
      <w:r>
        <w:t>招商引资</w:t>
      </w:r>
      <w:r>
        <w:rPr>
          <w:rFonts w:hint="eastAsia"/>
        </w:rPr>
        <w:t>和</w:t>
      </w:r>
      <w:r>
        <w:t>科研成果引进，</w:t>
      </w:r>
      <w:r>
        <w:rPr>
          <w:rFonts w:hint="eastAsia"/>
        </w:rPr>
        <w:t>探索发展甜玉米精深加工拓宽甜玉米</w:t>
      </w:r>
      <w:r>
        <w:t>的产业链，促进</w:t>
      </w:r>
      <w:r>
        <w:rPr>
          <w:rFonts w:hint="eastAsia"/>
        </w:rPr>
        <w:t>兴安县甜玉米</w:t>
      </w:r>
      <w:r>
        <w:t>的快速发展。</w:t>
      </w:r>
    </w:p>
    <w:p>
      <w:pPr>
        <w:ind w:firstLine="198" w:firstLineChars="71"/>
        <w:rPr>
          <w:rFonts w:ascii="宋体" w:hAnsi="宋体" w:cs="宋体"/>
          <w:szCs w:val="28"/>
        </w:rPr>
      </w:pPr>
    </w:p>
    <w:p>
      <w:pPr>
        <w:pStyle w:val="4"/>
        <w:spacing w:before="156" w:after="156"/>
        <w:ind w:firstLine="452"/>
      </w:pPr>
      <w:r>
        <w:rPr>
          <w:rFonts w:hint="eastAsia"/>
        </w:rPr>
        <w:t>（四）柑桔产业加工条件现状</w:t>
      </w:r>
    </w:p>
    <w:p>
      <w:pPr>
        <w:ind w:firstLine="560"/>
      </w:pPr>
      <w:r>
        <w:rPr>
          <w:rFonts w:hint="eastAsia" w:ascii="宋体" w:hAnsi="宋体" w:cs="宋体"/>
          <w:szCs w:val="28"/>
          <w:lang w:eastAsia="zh-CN"/>
        </w:rPr>
        <w:t>截止到</w:t>
      </w:r>
      <w:r>
        <w:rPr>
          <w:rFonts w:hint="eastAsia" w:ascii="宋体" w:hAnsi="宋体" w:cs="宋体"/>
          <w:szCs w:val="28"/>
        </w:rPr>
        <w:t>201</w:t>
      </w:r>
      <w:r>
        <w:rPr>
          <w:rFonts w:ascii="宋体" w:hAnsi="宋体" w:cs="宋体"/>
          <w:szCs w:val="28"/>
        </w:rPr>
        <w:t>8</w:t>
      </w:r>
      <w:r>
        <w:rPr>
          <w:rFonts w:hint="eastAsia" w:ascii="宋体" w:hAnsi="宋体" w:cs="宋体"/>
          <w:szCs w:val="28"/>
        </w:rPr>
        <w:t>年底，柑桔清洗机——选果</w:t>
      </w:r>
      <w:r>
        <w:rPr>
          <w:rFonts w:hint="eastAsia" w:ascii="宋体" w:hAnsi="宋体" w:cs="宋体"/>
          <w:szCs w:val="28"/>
          <w:lang w:eastAsia="zh-CN"/>
        </w:rPr>
        <w:t>打蜡</w:t>
      </w:r>
      <w:r>
        <w:rPr>
          <w:rFonts w:hint="eastAsia" w:ascii="宋体" w:hAnsi="宋体" w:cs="宋体"/>
          <w:szCs w:val="28"/>
        </w:rPr>
        <w:t>厂已落户兴安共有</w:t>
      </w:r>
      <w:r>
        <w:rPr>
          <w:rFonts w:ascii="宋体" w:hAnsi="宋体" w:cs="宋体"/>
          <w:szCs w:val="28"/>
        </w:rPr>
        <w:t>6</w:t>
      </w:r>
      <w:r>
        <w:rPr>
          <w:rFonts w:hint="eastAsia" w:ascii="宋体" w:hAnsi="宋体" w:cs="宋体"/>
          <w:szCs w:val="28"/>
        </w:rPr>
        <w:t>家，具有规模较大的有</w:t>
      </w:r>
      <w:r>
        <w:rPr>
          <w:rFonts w:ascii="宋体" w:hAnsi="宋体" w:cs="宋体"/>
          <w:szCs w:val="28"/>
        </w:rPr>
        <w:t>1</w:t>
      </w:r>
      <w:r>
        <w:rPr>
          <w:rFonts w:hint="eastAsia" w:ascii="宋体" w:hAnsi="宋体" w:cs="宋体"/>
          <w:szCs w:val="28"/>
        </w:rPr>
        <w:t>家，日加工量在300吨以上，吸纳1500个再就业劳动力做工；已形成了水果加工—储存—营销—农残检测—交易平台—信息网络等顺畅服务的链条。例如，桂林日盛食品有限责任公司，它具有柑桔交易、初加工、</w:t>
      </w:r>
      <w:r>
        <w:rPr>
          <w:rFonts w:ascii="宋体" w:hAnsi="宋体" w:cs="宋体"/>
          <w:szCs w:val="28"/>
        </w:rPr>
        <w:t>深加工</w:t>
      </w:r>
      <w:r>
        <w:rPr>
          <w:rFonts w:hint="eastAsia" w:ascii="宋体" w:hAnsi="宋体" w:cs="宋体"/>
          <w:szCs w:val="28"/>
        </w:rPr>
        <w:t>、物流仓储、农残检测等多种服务功能，对地标品牌的发展起到积极的推动作用。</w:t>
      </w:r>
    </w:p>
    <w:p>
      <w:pPr>
        <w:ind w:firstLine="0" w:firstLineChars="0"/>
      </w:pPr>
    </w:p>
    <w:p>
      <w:pPr>
        <w:ind w:firstLine="0" w:firstLineChars="0"/>
        <w:jc w:val="left"/>
      </w:pPr>
      <w:r>
        <w:drawing>
          <wp:inline distT="0" distB="0" distL="0" distR="0">
            <wp:extent cx="2936875" cy="1922145"/>
            <wp:effectExtent l="0" t="0" r="15875" b="1905"/>
            <wp:docPr id="29" name="图片 29" descr="IMG_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239"/>
                    <pic:cNvPicPr>
                      <a:picLocks noChangeAspect="1" noChangeArrowheads="1"/>
                    </pic:cNvPicPr>
                  </pic:nvPicPr>
                  <pic:blipFill>
                    <a:blip r:embed="rId42" cstate="print">
                      <a:lum bright="6000"/>
                      <a:extLst>
                        <a:ext uri="{28A0092B-C50C-407E-A947-70E740481C1C}">
                          <a14:useLocalDpi xmlns:a14="http://schemas.microsoft.com/office/drawing/2010/main" val="0"/>
                        </a:ext>
                      </a:extLst>
                    </a:blip>
                    <a:srcRect t="3074" r="751"/>
                    <a:stretch>
                      <a:fillRect/>
                    </a:stretch>
                  </pic:blipFill>
                  <pic:spPr>
                    <a:xfrm>
                      <a:off x="0" y="0"/>
                      <a:ext cx="2936875" cy="1922145"/>
                    </a:xfrm>
                    <a:prstGeom prst="rect">
                      <a:avLst/>
                    </a:prstGeom>
                    <a:noFill/>
                    <a:ln>
                      <a:noFill/>
                    </a:ln>
                  </pic:spPr>
                </pic:pic>
              </a:graphicData>
            </a:graphic>
          </wp:inline>
        </w:drawing>
      </w:r>
      <w:r>
        <w:t xml:space="preserve"> </w:t>
      </w:r>
      <w:r>
        <w:drawing>
          <wp:inline distT="0" distB="0" distL="0" distR="0">
            <wp:extent cx="2903855" cy="1939290"/>
            <wp:effectExtent l="0" t="0" r="10795" b="3810"/>
            <wp:docPr id="32" name="图片 32" descr="IMG_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247"/>
                    <pic:cNvPicPr>
                      <a:picLocks noChangeAspect="1" noChangeArrowheads="1"/>
                    </pic:cNvPicPr>
                  </pic:nvPicPr>
                  <pic:blipFill>
                    <a:blip r:embed="rId43" cstate="print">
                      <a:lum bright="6000"/>
                      <a:extLst>
                        <a:ext uri="{28A0092B-C50C-407E-A947-70E740481C1C}">
                          <a14:useLocalDpi xmlns:a14="http://schemas.microsoft.com/office/drawing/2010/main" val="0"/>
                        </a:ext>
                      </a:extLst>
                    </a:blip>
                    <a:srcRect/>
                    <a:stretch>
                      <a:fillRect/>
                    </a:stretch>
                  </pic:blipFill>
                  <pic:spPr>
                    <a:xfrm>
                      <a:off x="0" y="0"/>
                      <a:ext cx="2903855" cy="1939290"/>
                    </a:xfrm>
                    <a:prstGeom prst="rect">
                      <a:avLst/>
                    </a:prstGeom>
                    <a:noFill/>
                    <a:ln>
                      <a:noFill/>
                    </a:ln>
                  </pic:spPr>
                </pic:pic>
              </a:graphicData>
            </a:graphic>
          </wp:inline>
        </w:drawing>
      </w:r>
    </w:p>
    <w:p>
      <w:pPr>
        <w:ind w:firstLine="0" w:firstLineChars="0"/>
        <w:jc w:val="left"/>
      </w:pPr>
    </w:p>
    <w:p>
      <w:pPr>
        <w:pStyle w:val="4"/>
        <w:spacing w:before="156" w:after="156"/>
        <w:ind w:firstLine="452"/>
      </w:pPr>
      <w:r>
        <w:rPr>
          <w:rFonts w:hint="eastAsia"/>
        </w:rPr>
        <w:t>（五）食用菌产业加工条件现状</w:t>
      </w:r>
    </w:p>
    <w:p>
      <w:pPr>
        <w:ind w:firstLine="560"/>
      </w:pPr>
      <w:r>
        <w:rPr>
          <w:rFonts w:hint="eastAsia" w:ascii="宋体" w:hAnsi="宋体" w:cs="宋体"/>
          <w:szCs w:val="28"/>
        </w:rPr>
        <w:t>兴安食用菌以</w:t>
      </w:r>
      <w:r>
        <w:rPr>
          <w:rFonts w:ascii="宋体" w:hAnsi="宋体" w:cs="宋体"/>
          <w:szCs w:val="28"/>
        </w:rPr>
        <w:t>鲜食为主</w:t>
      </w:r>
      <w:r>
        <w:rPr>
          <w:rFonts w:hint="eastAsia" w:ascii="宋体" w:hAnsi="宋体" w:cs="宋体"/>
          <w:szCs w:val="28"/>
        </w:rPr>
        <w:t>，</w:t>
      </w:r>
      <w:r>
        <w:t>还</w:t>
      </w:r>
      <w:r>
        <w:rPr>
          <w:rFonts w:hint="eastAsia"/>
        </w:rPr>
        <w:t>没有深加工，为了</w:t>
      </w:r>
      <w:r>
        <w:t>更好的</w:t>
      </w:r>
      <w:r>
        <w:rPr>
          <w:rFonts w:hint="eastAsia"/>
        </w:rPr>
        <w:t>产业链</w:t>
      </w:r>
      <w:r>
        <w:t>发展，</w:t>
      </w:r>
      <w:r>
        <w:rPr>
          <w:rFonts w:hint="eastAsia"/>
        </w:rPr>
        <w:t>应提高</w:t>
      </w:r>
      <w:r>
        <w:t>产品附加值</w:t>
      </w:r>
      <w:r>
        <w:rPr>
          <w:rFonts w:hint="eastAsia"/>
        </w:rPr>
        <w:t>。</w:t>
      </w:r>
      <w:r>
        <w:t>经济快速发展让传统的食用菌鲜食已不能满足市场需要，食用菌深加工产品因富含营养、具有调节人体多项生理功能和药用价值而逐渐成为</w:t>
      </w:r>
      <w:r>
        <w:rPr>
          <w:rFonts w:ascii="宋体" w:hAnsi="宋体"/>
        </w:rPr>
        <w:t>“</w:t>
      </w:r>
      <w:r>
        <w:t>香饽饽</w:t>
      </w:r>
      <w:r>
        <w:rPr>
          <w:rFonts w:ascii="宋体" w:hAnsi="宋体"/>
        </w:rPr>
        <w:t>”</w:t>
      </w:r>
      <w:r>
        <w:rPr>
          <w:rFonts w:hint="eastAsia"/>
        </w:rPr>
        <w:t>。</w:t>
      </w:r>
      <w:r>
        <w:t>近年来，国家对农业及食用菌加工业不断加大投入，食用菌加工涌现出诸多生产技术，也让食用菌产品更加多样化、个性化，成为国民经济发展的</w:t>
      </w:r>
      <w:r>
        <w:rPr>
          <w:rFonts w:ascii="宋体" w:hAnsi="宋体"/>
        </w:rPr>
        <w:t>“</w:t>
      </w:r>
      <w:r>
        <w:t>新兴产业</w:t>
      </w:r>
      <w:r>
        <w:rPr>
          <w:rFonts w:ascii="宋体" w:hAnsi="宋体"/>
        </w:rPr>
        <w:t>”</w:t>
      </w:r>
      <w:r>
        <w:t>和新的经济</w:t>
      </w:r>
      <w:r>
        <w:rPr>
          <w:rFonts w:ascii="宋体" w:hAnsi="宋体"/>
        </w:rPr>
        <w:t>“</w:t>
      </w:r>
      <w:r>
        <w:t>增长点</w:t>
      </w:r>
      <w:r>
        <w:rPr>
          <w:rFonts w:ascii="宋体" w:hAnsi="宋体"/>
        </w:rPr>
        <w:t>”</w:t>
      </w:r>
      <w:r>
        <w:t>，有利于促进农业产业结构调整，拓展现代农业发展</w:t>
      </w:r>
      <w:r>
        <w:rPr>
          <w:rFonts w:ascii="宋体" w:hAnsi="宋体"/>
        </w:rPr>
        <w:t>“</w:t>
      </w:r>
      <w:r>
        <w:t>新空间</w:t>
      </w:r>
      <w:r>
        <w:rPr>
          <w:rFonts w:ascii="宋体" w:hAnsi="宋体"/>
        </w:rPr>
        <w:t>”</w:t>
      </w:r>
      <w:r>
        <w:t>。</w:t>
      </w:r>
    </w:p>
    <w:p>
      <w:pPr>
        <w:ind w:firstLine="560"/>
        <w:rPr>
          <w:rFonts w:ascii="宋体" w:hAnsi="宋体"/>
        </w:rPr>
      </w:pPr>
      <w:r>
        <w:rPr>
          <w:rFonts w:hint="eastAsia" w:ascii="宋体" w:hAnsi="宋体"/>
        </w:rPr>
        <w:t>从延伸产业增值链条、促进广大农民增收的角度看，田间地头是食品工业的“第一生产车间”。只有地产食用菌质量优良，精深加工、品牌运作、市场营销等后续工作才能有序展开，最终实现农业增效、农民增收的目标。</w:t>
      </w:r>
    </w:p>
    <w:p>
      <w:pPr>
        <w:ind w:firstLine="560"/>
        <w:rPr>
          <w:rFonts w:ascii="宋体" w:hAnsi="宋体"/>
        </w:rPr>
      </w:pPr>
    </w:p>
    <w:p>
      <w:pPr>
        <w:pStyle w:val="3"/>
        <w:ind w:firstLine="643"/>
        <w:rPr>
          <w:rFonts w:ascii="宋体" w:hAnsi="宋体" w:cs="宋体"/>
        </w:rPr>
      </w:pPr>
      <w:r>
        <w:fldChar w:fldCharType="begin"/>
      </w:r>
      <w:r>
        <w:instrText xml:space="preserve"> HYPERLINK \l "_Toc529132023" </w:instrText>
      </w:r>
      <w:r>
        <w:fldChar w:fldCharType="separate"/>
      </w:r>
      <w:bookmarkStart w:id="43" w:name="_Toc21594837"/>
      <w:bookmarkStart w:id="44" w:name="_Toc18417393"/>
      <w:r>
        <w:rPr>
          <w:rFonts w:hint="eastAsia" w:ascii="宋体" w:hAnsi="宋体" w:cs="宋体"/>
        </w:rPr>
        <w:t>三、主导产业销售与</w:t>
      </w:r>
      <w:r>
        <w:rPr>
          <w:rFonts w:ascii="宋体" w:hAnsi="宋体" w:cs="宋体"/>
        </w:rPr>
        <w:t>物流</w:t>
      </w:r>
      <w:r>
        <w:rPr>
          <w:rFonts w:hint="eastAsia" w:ascii="宋体" w:hAnsi="宋体" w:cs="宋体"/>
        </w:rPr>
        <w:t>情况</w:t>
      </w:r>
      <w:bookmarkEnd w:id="43"/>
      <w:bookmarkEnd w:id="44"/>
      <w:r>
        <w:rPr>
          <w:rFonts w:hint="eastAsia" w:ascii="宋体" w:hAnsi="宋体" w:cs="宋体"/>
        </w:rPr>
        <w:fldChar w:fldCharType="end"/>
      </w:r>
    </w:p>
    <w:p>
      <w:pPr>
        <w:pStyle w:val="4"/>
        <w:spacing w:before="156" w:after="156"/>
        <w:ind w:firstLine="452"/>
      </w:pPr>
      <w:r>
        <w:rPr>
          <w:rFonts w:hint="eastAsia"/>
        </w:rPr>
        <w:t>（一）销售情况</w:t>
      </w:r>
    </w:p>
    <w:p>
      <w:pPr>
        <w:ind w:firstLine="560" w:firstLineChars="0"/>
        <w:rPr>
          <w:rFonts w:asciiTheme="minorEastAsia" w:hAnsiTheme="minorEastAsia" w:eastAsiaTheme="minorEastAsia"/>
          <w:b/>
          <w:bCs/>
          <w:color w:val="000000" w:themeColor="text1"/>
          <w:szCs w:val="28"/>
          <w14:textFill>
            <w14:solidFill>
              <w14:schemeClr w14:val="tx1"/>
            </w14:solidFill>
          </w14:textFill>
        </w:rPr>
      </w:pPr>
      <w:r>
        <w:rPr>
          <w:rFonts w:hint="eastAsia" w:asciiTheme="minorEastAsia" w:hAnsiTheme="minorEastAsia" w:eastAsiaTheme="minorEastAsia"/>
          <w:b/>
          <w:bCs/>
          <w:color w:val="000000" w:themeColor="text1"/>
          <w:szCs w:val="28"/>
          <w14:textFill>
            <w14:solidFill>
              <w14:schemeClr w14:val="tx1"/>
            </w14:solidFill>
          </w14:textFill>
        </w:rPr>
        <w:t>1.葡萄</w:t>
      </w:r>
      <w:r>
        <w:rPr>
          <w:rFonts w:asciiTheme="minorEastAsia" w:hAnsiTheme="minorEastAsia" w:eastAsiaTheme="minorEastAsia"/>
          <w:b/>
          <w:bCs/>
          <w:color w:val="000000" w:themeColor="text1"/>
          <w:szCs w:val="28"/>
          <w14:textFill>
            <w14:solidFill>
              <w14:schemeClr w14:val="tx1"/>
            </w14:solidFill>
          </w14:textFill>
        </w:rPr>
        <w:t>产业</w:t>
      </w:r>
    </w:p>
    <w:p>
      <w:pPr>
        <w:ind w:firstLine="700" w:firstLineChars="250"/>
        <w:rPr>
          <w:b/>
        </w:rPr>
      </w:pPr>
      <w:r>
        <w:rPr>
          <w:rFonts w:hint="eastAsia" w:ascii="宋体" w:hAnsi="宋体" w:cs="宋体"/>
          <w:color w:val="000000" w:themeColor="text1"/>
          <w:szCs w:val="28"/>
          <w14:textFill>
            <w14:solidFill>
              <w14:schemeClr w14:val="tx1"/>
            </w14:solidFill>
          </w14:textFill>
        </w:rPr>
        <w:t>兴安</w:t>
      </w:r>
      <w:r>
        <w:rPr>
          <w:rFonts w:ascii="宋体" w:hAnsi="宋体" w:cs="宋体"/>
          <w:color w:val="000000" w:themeColor="text1"/>
          <w:szCs w:val="28"/>
          <w14:textFill>
            <w14:solidFill>
              <w14:schemeClr w14:val="tx1"/>
            </w14:solidFill>
          </w14:textFill>
        </w:rPr>
        <w:t>县</w:t>
      </w:r>
      <w:r>
        <w:rPr>
          <w:rFonts w:hint="eastAsia" w:ascii="宋体" w:hAnsi="宋体" w:cs="宋体"/>
          <w:color w:val="000000" w:themeColor="text1"/>
          <w:szCs w:val="28"/>
          <w14:textFill>
            <w14:solidFill>
              <w14:schemeClr w14:val="tx1"/>
            </w14:solidFill>
          </w14:textFill>
        </w:rPr>
        <w:t>是中国南方最著名的鲜食葡萄产地，是“全国优质葡萄生产基地”，被誉为“南方吐鲁番”。目前全县人工种植葡</w:t>
      </w:r>
      <w:r>
        <w:rPr>
          <w:rFonts w:hint="eastAsia" w:ascii="宋体" w:hAnsi="宋体" w:cs="宋体"/>
          <w:color w:val="0D0D0D" w:themeColor="text1" w:themeTint="F2"/>
          <w:szCs w:val="28"/>
          <w14:textFill>
            <w14:solidFill>
              <w14:schemeClr w14:val="tx1">
                <w14:lumMod w14:val="95000"/>
                <w14:lumOff w14:val="5000"/>
              </w14:schemeClr>
            </w14:solidFill>
          </w14:textFill>
        </w:rPr>
        <w:t>萄</w:t>
      </w:r>
      <w:r>
        <w:rPr>
          <w:rFonts w:ascii="宋体" w:hAnsi="宋体" w:cs="宋体"/>
          <w:color w:val="0D0D0D" w:themeColor="text1" w:themeTint="F2"/>
          <w:szCs w:val="28"/>
          <w14:textFill>
            <w14:solidFill>
              <w14:schemeClr w14:val="tx1">
                <w14:lumMod w14:val="95000"/>
                <w14:lumOff w14:val="5000"/>
              </w14:schemeClr>
            </w14:solidFill>
          </w14:textFill>
        </w:rPr>
        <w:t>14.</w:t>
      </w:r>
      <w:r>
        <w:rPr>
          <w:rFonts w:hint="eastAsia" w:ascii="宋体" w:hAnsi="宋体" w:cs="宋体"/>
          <w:color w:val="0D0D0D" w:themeColor="text1" w:themeTint="F2"/>
          <w:szCs w:val="28"/>
          <w14:textFill>
            <w14:solidFill>
              <w14:schemeClr w14:val="tx1">
                <w14:lumMod w14:val="95000"/>
                <w14:lumOff w14:val="5000"/>
              </w14:schemeClr>
            </w14:solidFill>
          </w14:textFill>
        </w:rPr>
        <w:t>6</w:t>
      </w:r>
      <w:r>
        <w:rPr>
          <w:rFonts w:ascii="宋体" w:hAnsi="宋体" w:cs="宋体"/>
          <w:color w:val="0D0D0D" w:themeColor="text1" w:themeTint="F2"/>
          <w:szCs w:val="28"/>
          <w14:textFill>
            <w14:solidFill>
              <w14:schemeClr w14:val="tx1">
                <w14:lumMod w14:val="95000"/>
                <w14:lumOff w14:val="5000"/>
              </w14:schemeClr>
            </w14:solidFill>
          </w14:textFill>
        </w:rPr>
        <w:t>万亩,</w:t>
      </w:r>
      <w:r>
        <w:rPr>
          <w:rFonts w:hint="eastAsia" w:ascii="宋体" w:hAnsi="宋体" w:cs="宋体"/>
          <w:color w:val="0D0D0D" w:themeColor="text1" w:themeTint="F2"/>
          <w:szCs w:val="28"/>
          <w14:textFill>
            <w14:solidFill>
              <w14:schemeClr w14:val="tx1">
                <w14:lumMod w14:val="95000"/>
                <w14:lumOff w14:val="5000"/>
              </w14:schemeClr>
            </w14:solidFill>
          </w14:textFill>
        </w:rPr>
        <w:t>总产量</w:t>
      </w:r>
      <w:r>
        <w:rPr>
          <w:rFonts w:ascii="宋体" w:hAnsi="宋体" w:cs="宋体"/>
          <w:color w:val="0D0D0D" w:themeColor="text1" w:themeTint="F2"/>
          <w:szCs w:val="28"/>
          <w14:textFill>
            <w14:solidFill>
              <w14:schemeClr w14:val="tx1">
                <w14:lumMod w14:val="95000"/>
                <w14:lumOff w14:val="5000"/>
              </w14:schemeClr>
            </w14:solidFill>
          </w14:textFill>
        </w:rPr>
        <w:t>2</w:t>
      </w:r>
      <w:r>
        <w:rPr>
          <w:rFonts w:hint="eastAsia" w:ascii="宋体" w:hAnsi="宋体" w:cs="宋体"/>
          <w:color w:val="0D0D0D" w:themeColor="text1" w:themeTint="F2"/>
          <w:szCs w:val="28"/>
          <w14:textFill>
            <w14:solidFill>
              <w14:schemeClr w14:val="tx1">
                <w14:lumMod w14:val="95000"/>
                <w14:lumOff w14:val="5000"/>
              </w14:schemeClr>
            </w14:solidFill>
          </w14:textFill>
        </w:rPr>
        <w:t>3</w:t>
      </w:r>
      <w:r>
        <w:rPr>
          <w:rFonts w:ascii="宋体" w:hAnsi="宋体" w:cs="宋体"/>
          <w:color w:val="000000" w:themeColor="text1"/>
          <w:szCs w:val="28"/>
          <w14:textFill>
            <w14:solidFill>
              <w14:schemeClr w14:val="tx1"/>
            </w14:solidFill>
          </w14:textFill>
        </w:rPr>
        <w:t>万吨，已经发展为广西最大的葡萄产区,</w:t>
      </w:r>
      <w:r>
        <w:rPr>
          <w:rFonts w:hint="eastAsia" w:ascii="宋体" w:hAnsi="宋体" w:cs="宋体"/>
          <w:color w:val="000000" w:themeColor="text1"/>
          <w:szCs w:val="28"/>
          <w14:textFill>
            <w14:solidFill>
              <w14:schemeClr w14:val="tx1"/>
            </w14:solidFill>
          </w14:textFill>
        </w:rPr>
        <w:t>各类品种的优质葡萄销往全国各地。兴安</w:t>
      </w:r>
      <w:r>
        <w:rPr>
          <w:rFonts w:ascii="宋体" w:hAnsi="宋体" w:cs="宋体"/>
          <w:color w:val="000000" w:themeColor="text1"/>
          <w:szCs w:val="28"/>
          <w14:textFill>
            <w14:solidFill>
              <w14:schemeClr w14:val="tx1"/>
            </w14:solidFill>
          </w14:textFill>
        </w:rPr>
        <w:t>县通过举办</w:t>
      </w:r>
      <w:r>
        <w:rPr>
          <w:rFonts w:hint="eastAsia"/>
          <w:color w:val="000000"/>
        </w:rPr>
        <w:t>桂林</w:t>
      </w:r>
      <w:r>
        <w:rPr>
          <w:color w:val="000000"/>
        </w:rPr>
        <w:t>兴安（</w:t>
      </w:r>
      <w:r>
        <w:rPr>
          <w:rFonts w:hint="eastAsia"/>
          <w:color w:val="000000"/>
        </w:rPr>
        <w:t>中国</w:t>
      </w:r>
      <w:r>
        <w:rPr>
          <w:color w:val="000000"/>
        </w:rPr>
        <w:t>南方）</w:t>
      </w:r>
      <w:r>
        <w:rPr>
          <w:rFonts w:hint="eastAsia"/>
          <w:color w:val="000000"/>
        </w:rPr>
        <w:t>葡萄节积极</w:t>
      </w:r>
      <w:r>
        <w:rPr>
          <w:color w:val="000000"/>
        </w:rPr>
        <w:t>宣传推介兴安葡萄，每年葡萄</w:t>
      </w:r>
      <w:r>
        <w:rPr>
          <w:rFonts w:hint="eastAsia"/>
          <w:color w:val="000000"/>
        </w:rPr>
        <w:t>都</w:t>
      </w:r>
      <w:r>
        <w:rPr>
          <w:color w:val="000000"/>
        </w:rPr>
        <w:t>十分畅销。</w:t>
      </w:r>
    </w:p>
    <w:p>
      <w:pPr>
        <w:ind w:firstLine="562"/>
        <w:rPr>
          <w:b/>
        </w:rPr>
      </w:pPr>
    </w:p>
    <w:p>
      <w:pPr>
        <w:ind w:firstLine="562"/>
        <w:rPr>
          <w:b/>
        </w:rPr>
      </w:pPr>
    </w:p>
    <w:p>
      <w:pPr>
        <w:ind w:firstLine="560" w:firstLineChars="0"/>
        <w:rPr>
          <w:rFonts w:asciiTheme="minorEastAsia" w:hAnsiTheme="minorEastAsia" w:eastAsiaTheme="minorEastAsia"/>
          <w:b/>
          <w:bCs/>
          <w:color w:val="000000" w:themeColor="text1"/>
          <w:szCs w:val="28"/>
          <w14:textFill>
            <w14:solidFill>
              <w14:schemeClr w14:val="tx1"/>
            </w14:solidFill>
          </w14:textFill>
        </w:rPr>
      </w:pPr>
      <w:r>
        <w:rPr>
          <w:rFonts w:asciiTheme="minorEastAsia" w:hAnsiTheme="minorEastAsia" w:eastAsiaTheme="minorEastAsia"/>
          <w:b/>
          <w:bCs/>
          <w:color w:val="000000" w:themeColor="text1"/>
          <w:szCs w:val="28"/>
          <w14:textFill>
            <w14:solidFill>
              <w14:schemeClr w14:val="tx1"/>
            </w14:solidFill>
          </w14:textFill>
        </w:rPr>
        <w:t>2.</w:t>
      </w:r>
      <w:r>
        <w:rPr>
          <w:rFonts w:hint="eastAsia" w:asciiTheme="minorEastAsia" w:hAnsiTheme="minorEastAsia" w:eastAsiaTheme="minorEastAsia"/>
          <w:b/>
          <w:bCs/>
          <w:color w:val="000000" w:themeColor="text1"/>
          <w:szCs w:val="28"/>
          <w14:textFill>
            <w14:solidFill>
              <w14:schemeClr w14:val="tx1"/>
            </w14:solidFill>
          </w14:textFill>
        </w:rPr>
        <w:t>银杏产业</w:t>
      </w:r>
    </w:p>
    <w:p>
      <w:pPr>
        <w:ind w:firstLine="560"/>
        <w:rPr>
          <w:rFonts w:asciiTheme="minorEastAsia" w:hAnsiTheme="minorEastAsia" w:eastAsiaTheme="minorEastAsia"/>
          <w:bCs/>
          <w:color w:val="000000" w:themeColor="text1"/>
          <w:szCs w:val="28"/>
          <w14:textFill>
            <w14:solidFill>
              <w14:schemeClr w14:val="tx1"/>
            </w14:solidFill>
          </w14:textFill>
        </w:rPr>
      </w:pPr>
      <w:r>
        <w:rPr>
          <w:rFonts w:hint="eastAsia" w:asciiTheme="minorEastAsia" w:hAnsiTheme="minorEastAsia" w:eastAsiaTheme="minorEastAsia"/>
          <w:bCs/>
          <w:color w:val="000000" w:themeColor="text1"/>
          <w:szCs w:val="28"/>
          <w14:textFill>
            <w14:solidFill>
              <w14:schemeClr w14:val="tx1"/>
            </w14:solidFill>
          </w14:textFill>
        </w:rPr>
        <w:t>兴安县气温适中，雨量充沛，土壤肥沃，四季分明，宜于白果树的生长，成为全国白果主要产地之一。这里的白果果实肥大，肉嫩味甘，产量也高，还比全国其他地方早熟近一个月，因而驰名国内外，成为广西的著名特产，年产量</w:t>
      </w:r>
      <w:r>
        <w:rPr>
          <w:rFonts w:hint="eastAsia" w:asciiTheme="minorEastAsia" w:hAnsiTheme="minorEastAsia" w:eastAsiaTheme="minorEastAsia"/>
          <w:bCs/>
          <w:szCs w:val="28"/>
        </w:rPr>
        <w:t>为</w:t>
      </w:r>
      <w:r>
        <w:rPr>
          <w:rFonts w:asciiTheme="minorEastAsia" w:hAnsiTheme="minorEastAsia" w:eastAsiaTheme="minorEastAsia"/>
          <w:bCs/>
          <w:szCs w:val="28"/>
        </w:rPr>
        <w:t>3000</w:t>
      </w:r>
      <w:r>
        <w:rPr>
          <w:rFonts w:hint="eastAsia" w:asciiTheme="minorEastAsia" w:hAnsiTheme="minorEastAsia" w:eastAsiaTheme="minorEastAsia"/>
          <w:bCs/>
          <w:szCs w:val="28"/>
        </w:rPr>
        <w:t>吨，经采摘、筛选进行初加工</w:t>
      </w:r>
      <w:r>
        <w:rPr>
          <w:rFonts w:hint="eastAsia"/>
        </w:rPr>
        <w:t>白果剥皮后真空</w:t>
      </w:r>
      <w:r>
        <w:t>包装</w:t>
      </w:r>
      <w:r>
        <w:rPr>
          <w:rFonts w:hint="eastAsia"/>
        </w:rPr>
        <w:t>出售</w:t>
      </w:r>
      <w:r>
        <w:t>，</w:t>
      </w:r>
      <w:r>
        <w:rPr>
          <w:rFonts w:hint="eastAsia" w:asciiTheme="minorEastAsia" w:hAnsiTheme="minorEastAsia" w:eastAsiaTheme="minorEastAsia"/>
          <w:bCs/>
          <w:color w:val="000000" w:themeColor="text1"/>
          <w:szCs w:val="28"/>
          <w14:textFill>
            <w14:solidFill>
              <w14:schemeClr w14:val="tx1"/>
            </w14:solidFill>
          </w14:textFill>
        </w:rPr>
        <w:t>远销香港，并出口东南亚、日本等地。</w:t>
      </w:r>
    </w:p>
    <w:p>
      <w:pPr>
        <w:ind w:firstLine="560" w:firstLineChars="0"/>
        <w:rPr>
          <w:rFonts w:asciiTheme="minorEastAsia" w:hAnsiTheme="minorEastAsia" w:eastAsiaTheme="minorEastAsia"/>
          <w:bCs/>
          <w:szCs w:val="28"/>
        </w:rPr>
      </w:pPr>
      <w:r>
        <w:rPr>
          <w:rFonts w:asciiTheme="minorEastAsia" w:hAnsiTheme="minorEastAsia" w:eastAsiaTheme="minorEastAsia"/>
          <w:b/>
          <w:bCs/>
          <w:color w:val="000000" w:themeColor="text1"/>
          <w:szCs w:val="28"/>
          <w14:textFill>
            <w14:solidFill>
              <w14:schemeClr w14:val="tx1"/>
            </w14:solidFill>
          </w14:textFill>
        </w:rPr>
        <w:t>3</w:t>
      </w:r>
      <w:r>
        <w:rPr>
          <w:rFonts w:hint="eastAsia" w:asciiTheme="minorEastAsia" w:hAnsiTheme="minorEastAsia" w:eastAsiaTheme="minorEastAsia"/>
          <w:b/>
          <w:bCs/>
          <w:szCs w:val="28"/>
        </w:rPr>
        <w:t>.甜玉米产业</w:t>
      </w:r>
    </w:p>
    <w:p>
      <w:pPr>
        <w:ind w:firstLine="560"/>
      </w:pPr>
      <w:r>
        <w:rPr>
          <w:rFonts w:hint="eastAsia"/>
        </w:rPr>
        <w:t>兴安</w:t>
      </w:r>
      <w:r>
        <w:t>县是</w:t>
      </w:r>
      <w:r>
        <w:rPr>
          <w:rFonts w:hint="eastAsia"/>
        </w:rPr>
        <w:t>广西</w:t>
      </w:r>
      <w:r>
        <w:t>甜玉米生产第二大县</w:t>
      </w:r>
      <w:r>
        <w:rPr>
          <w:rFonts w:hint="eastAsia"/>
        </w:rPr>
        <w:t>，</w:t>
      </w:r>
      <w:r>
        <w:t>生产的甜玉米主要</w:t>
      </w:r>
      <w:r>
        <w:rPr>
          <w:rFonts w:hint="eastAsia"/>
        </w:rPr>
        <w:t>销往上海</w:t>
      </w:r>
      <w:r>
        <w:t>、湖北、湖南、</w:t>
      </w:r>
      <w:r>
        <w:rPr>
          <w:rFonts w:hint="eastAsia"/>
        </w:rPr>
        <w:t>福建</w:t>
      </w:r>
      <w:r>
        <w:t>等地</w:t>
      </w:r>
      <w:r>
        <w:rPr>
          <w:rFonts w:hint="eastAsia"/>
        </w:rPr>
        <w:t>。甜玉米主要</w:t>
      </w:r>
      <w:r>
        <w:t>销售鲜食玉米，</w:t>
      </w:r>
      <w:r>
        <w:rPr>
          <w:rFonts w:hint="eastAsia"/>
        </w:rPr>
        <w:t>同时</w:t>
      </w:r>
      <w:r>
        <w:t>秸秆等副产品也能带来</w:t>
      </w:r>
      <w:r>
        <w:rPr>
          <w:rFonts w:hint="eastAsia"/>
        </w:rPr>
        <w:t>收益</w:t>
      </w:r>
      <w:r>
        <w:t>，</w:t>
      </w:r>
      <w:r>
        <w:rPr>
          <w:rFonts w:hint="eastAsia"/>
        </w:rPr>
        <w:t>现在全县现有甜玉米杆青贮饲料加工厂</w:t>
      </w:r>
      <w:r>
        <w:t>8家，</w:t>
      </w:r>
      <w:r>
        <w:rPr>
          <w:rFonts w:hint="eastAsia"/>
        </w:rPr>
        <w:t>加工的青贮饲料供应本地及贺州、柳州的养殖场</w:t>
      </w:r>
      <w:r>
        <w:rPr>
          <w:rFonts w:asciiTheme="minorEastAsia" w:hAnsiTheme="minorEastAsia" w:eastAsiaTheme="minorEastAsia"/>
          <w:bCs/>
          <w:szCs w:val="28"/>
        </w:rPr>
        <w:t>，</w:t>
      </w:r>
      <w:r>
        <w:rPr>
          <w:rFonts w:hint="eastAsia"/>
        </w:rPr>
        <w:t>并远销湖南、福建等地</w:t>
      </w:r>
      <w:r>
        <w:t>，</w:t>
      </w:r>
      <w:r>
        <w:rPr>
          <w:rFonts w:hint="eastAsia"/>
        </w:rPr>
        <w:t>加工青贮饲料供不应求</w:t>
      </w:r>
      <w:r>
        <w:t>，</w:t>
      </w:r>
      <w:r>
        <w:rPr>
          <w:rFonts w:hint="eastAsia"/>
        </w:rPr>
        <w:t>甜玉米</w:t>
      </w:r>
      <w:r>
        <w:rPr>
          <w:rFonts w:hint="eastAsia"/>
          <w:lang w:eastAsia="zh-CN"/>
        </w:rPr>
        <w:t>秸秆</w:t>
      </w:r>
      <w:r>
        <w:rPr>
          <w:rFonts w:hint="eastAsia"/>
        </w:rPr>
        <w:t>销售有了保障。</w:t>
      </w:r>
    </w:p>
    <w:p>
      <w:pPr>
        <w:ind w:firstLine="562"/>
      </w:pPr>
      <w:r>
        <w:rPr>
          <w:rFonts w:asciiTheme="minorEastAsia" w:hAnsiTheme="minorEastAsia" w:eastAsiaTheme="minorEastAsia"/>
          <w:b/>
          <w:bCs/>
          <w:color w:val="000000" w:themeColor="text1"/>
          <w:szCs w:val="28"/>
          <w14:textFill>
            <w14:solidFill>
              <w14:schemeClr w14:val="tx1"/>
            </w14:solidFill>
          </w14:textFill>
        </w:rPr>
        <w:t>4</w:t>
      </w:r>
      <w:r>
        <w:rPr>
          <w:rFonts w:hint="eastAsia" w:asciiTheme="minorEastAsia" w:hAnsiTheme="minorEastAsia" w:eastAsiaTheme="minorEastAsia"/>
          <w:b/>
          <w:bCs/>
          <w:color w:val="000000" w:themeColor="text1"/>
          <w:szCs w:val="28"/>
          <w14:textFill>
            <w14:solidFill>
              <w14:schemeClr w14:val="tx1"/>
            </w14:solidFill>
          </w14:textFill>
        </w:rPr>
        <w:t>.柑桔产业</w:t>
      </w:r>
    </w:p>
    <w:p>
      <w:pPr>
        <w:ind w:firstLine="560"/>
        <w:rPr>
          <w:rFonts w:asciiTheme="minorEastAsia" w:hAnsiTheme="minorEastAsia" w:eastAsiaTheme="minorEastAsia"/>
          <w:bCs/>
          <w:color w:val="000000" w:themeColor="text1"/>
          <w:szCs w:val="28"/>
          <w14:textFill>
            <w14:solidFill>
              <w14:schemeClr w14:val="tx1"/>
            </w14:solidFill>
          </w14:textFill>
        </w:rPr>
      </w:pPr>
      <w:r>
        <w:rPr>
          <w:rFonts w:hint="eastAsia"/>
        </w:rPr>
        <w:t>兴安</w:t>
      </w:r>
      <w:r>
        <w:t>县</w:t>
      </w:r>
      <w:r>
        <w:rPr>
          <w:rFonts w:hint="eastAsia"/>
        </w:rPr>
        <w:t>积极</w:t>
      </w:r>
      <w:r>
        <w:t>宣传</w:t>
      </w:r>
      <w:r>
        <w:rPr>
          <w:rFonts w:asciiTheme="minorEastAsia" w:hAnsiTheme="minorEastAsia" w:eastAsiaTheme="minorEastAsia"/>
        </w:rPr>
        <w:t>“</w:t>
      </w:r>
      <w:r>
        <w:t>兴安柑桔</w:t>
      </w:r>
      <w:r>
        <w:rPr>
          <w:rFonts w:asciiTheme="minorEastAsia" w:hAnsiTheme="minorEastAsia" w:eastAsiaTheme="minorEastAsia"/>
        </w:rPr>
        <w:t>”</w:t>
      </w:r>
      <w:r>
        <w:t>品牌，积极通过政府网站、企业网站向外省区推介</w:t>
      </w:r>
      <w:r>
        <w:rPr>
          <w:rFonts w:asciiTheme="minorEastAsia" w:hAnsiTheme="minorEastAsia" w:eastAsiaTheme="minorEastAsia"/>
        </w:rPr>
        <w:t>“</w:t>
      </w:r>
      <w:r>
        <w:t>兴安柑桔</w:t>
      </w:r>
      <w:r>
        <w:rPr>
          <w:rFonts w:asciiTheme="minorEastAsia" w:hAnsiTheme="minorEastAsia" w:eastAsiaTheme="minorEastAsia"/>
        </w:rPr>
        <w:t>”</w:t>
      </w:r>
      <w:r>
        <w:t>品牌。同时</w:t>
      </w:r>
      <w:r>
        <w:rPr>
          <w:rFonts w:hint="eastAsia"/>
        </w:rPr>
        <w:t>，在打造销售市场上狠下功夫，在界首镇百里建成了占地面积达近</w:t>
      </w:r>
      <w:r>
        <w:t>3万平方米、可容纳200位收购商的大型桂北水果交易市场，日吞吐量可达5000吨。此外，还建有大型标准化水果加工厂1个，大型水果清洗分级打蜡机10多台，可为收购商提供贴心服务。</w:t>
      </w:r>
      <w:r>
        <w:rPr>
          <w:rFonts w:hint="eastAsia"/>
        </w:rPr>
        <w:t>兴安</w:t>
      </w:r>
      <w:r>
        <w:t>柑桔远销</w:t>
      </w:r>
      <w:r>
        <w:rPr>
          <w:rFonts w:hint="eastAsia"/>
        </w:rPr>
        <w:t>乌兹别克斯坦、俄罗斯等地。</w:t>
      </w:r>
    </w:p>
    <w:p>
      <w:pPr>
        <w:ind w:firstLine="562"/>
        <w:rPr>
          <w:rFonts w:asciiTheme="minorEastAsia" w:hAnsiTheme="minorEastAsia" w:eastAsiaTheme="minorEastAsia"/>
          <w:bCs/>
          <w:color w:val="000000" w:themeColor="text1"/>
          <w:szCs w:val="28"/>
          <w14:textFill>
            <w14:solidFill>
              <w14:schemeClr w14:val="tx1"/>
            </w14:solidFill>
          </w14:textFill>
        </w:rPr>
      </w:pPr>
      <w:r>
        <w:rPr>
          <w:rFonts w:hint="eastAsia" w:asciiTheme="minorEastAsia" w:hAnsiTheme="minorEastAsia" w:eastAsiaTheme="minorEastAsia"/>
          <w:b/>
          <w:bCs/>
          <w:szCs w:val="28"/>
        </w:rPr>
        <w:t>5.食用菌</w:t>
      </w:r>
      <w:r>
        <w:rPr>
          <w:rFonts w:asciiTheme="minorEastAsia" w:hAnsiTheme="minorEastAsia" w:eastAsiaTheme="minorEastAsia"/>
          <w:b/>
          <w:bCs/>
          <w:szCs w:val="28"/>
        </w:rPr>
        <w:t>产业</w:t>
      </w:r>
    </w:p>
    <w:p>
      <w:pPr>
        <w:ind w:firstLine="560"/>
        <w:rPr>
          <w:rFonts w:asciiTheme="minorEastAsia" w:hAnsiTheme="minorEastAsia" w:eastAsiaTheme="minorEastAsia"/>
          <w:bCs/>
          <w:szCs w:val="28"/>
        </w:rPr>
      </w:pPr>
      <w:r>
        <w:rPr>
          <w:rFonts w:hint="eastAsia" w:asciiTheme="minorEastAsia" w:hAnsiTheme="minorEastAsia" w:eastAsiaTheme="minorEastAsia"/>
          <w:bCs/>
          <w:szCs w:val="28"/>
        </w:rPr>
        <w:t>兴安县食用菌由兴安县铭晖食用菌种植有限公司、致恩食用菌种植专业合作社、湘涡陈振明食用菌种植基地、</w:t>
      </w:r>
      <w:r>
        <w:rPr>
          <w:rFonts w:asciiTheme="minorEastAsia" w:hAnsiTheme="minorEastAsia" w:eastAsiaTheme="minorEastAsia"/>
          <w:bCs/>
          <w:szCs w:val="28"/>
        </w:rPr>
        <w:t>菇云</w:t>
      </w:r>
      <w:r>
        <w:rPr>
          <w:rFonts w:hint="eastAsia" w:asciiTheme="minorEastAsia" w:hAnsiTheme="minorEastAsia" w:eastAsiaTheme="minorEastAsia"/>
          <w:bCs/>
          <w:szCs w:val="28"/>
        </w:rPr>
        <w:t>食用菌</w:t>
      </w:r>
      <w:r>
        <w:rPr>
          <w:rFonts w:asciiTheme="minorEastAsia" w:hAnsiTheme="minorEastAsia" w:eastAsiaTheme="minorEastAsia"/>
          <w:bCs/>
          <w:szCs w:val="28"/>
        </w:rPr>
        <w:t>家庭农场</w:t>
      </w:r>
      <w:r>
        <w:rPr>
          <w:rFonts w:hint="eastAsia" w:asciiTheme="minorEastAsia" w:hAnsiTheme="minorEastAsia" w:eastAsiaTheme="minorEastAsia"/>
          <w:bCs/>
          <w:szCs w:val="28"/>
        </w:rPr>
        <w:t>等</w:t>
      </w:r>
      <w:r>
        <w:rPr>
          <w:rFonts w:asciiTheme="minorEastAsia" w:hAnsiTheme="minorEastAsia" w:eastAsiaTheme="minorEastAsia"/>
          <w:bCs/>
          <w:szCs w:val="28"/>
        </w:rPr>
        <w:t>公司</w:t>
      </w:r>
      <w:r>
        <w:rPr>
          <w:rFonts w:hint="eastAsia" w:asciiTheme="minorEastAsia" w:hAnsiTheme="minorEastAsia" w:eastAsiaTheme="minorEastAsia"/>
          <w:bCs/>
          <w:szCs w:val="28"/>
        </w:rPr>
        <w:t>、</w:t>
      </w:r>
      <w:r>
        <w:rPr>
          <w:rFonts w:asciiTheme="minorEastAsia" w:hAnsiTheme="minorEastAsia" w:eastAsiaTheme="minorEastAsia"/>
          <w:bCs/>
          <w:szCs w:val="28"/>
        </w:rPr>
        <w:t>合作社</w:t>
      </w:r>
      <w:r>
        <w:rPr>
          <w:rFonts w:hint="eastAsia" w:asciiTheme="minorEastAsia" w:hAnsiTheme="minorEastAsia" w:eastAsiaTheme="minorEastAsia"/>
          <w:bCs/>
          <w:szCs w:val="28"/>
        </w:rPr>
        <w:t>及</w:t>
      </w:r>
      <w:r>
        <w:rPr>
          <w:rFonts w:asciiTheme="minorEastAsia" w:hAnsiTheme="minorEastAsia" w:eastAsiaTheme="minorEastAsia"/>
          <w:bCs/>
          <w:szCs w:val="28"/>
        </w:rPr>
        <w:t>家庭农场带动发展食用菌产业</w:t>
      </w:r>
      <w:r>
        <w:rPr>
          <w:rFonts w:hint="eastAsia" w:asciiTheme="minorEastAsia" w:hAnsiTheme="minorEastAsia" w:eastAsiaTheme="minorEastAsia"/>
          <w:bCs/>
          <w:szCs w:val="28"/>
        </w:rPr>
        <w:t>，农民</w:t>
      </w:r>
      <w:r>
        <w:rPr>
          <w:rFonts w:asciiTheme="minorEastAsia" w:hAnsiTheme="minorEastAsia" w:eastAsiaTheme="minorEastAsia"/>
          <w:bCs/>
          <w:szCs w:val="28"/>
        </w:rPr>
        <w:t>进行务工或自行</w:t>
      </w:r>
      <w:r>
        <w:rPr>
          <w:rFonts w:hint="eastAsia" w:asciiTheme="minorEastAsia" w:hAnsiTheme="minorEastAsia" w:eastAsiaTheme="minorEastAsia"/>
          <w:bCs/>
          <w:szCs w:val="28"/>
        </w:rPr>
        <w:t>种植</w:t>
      </w:r>
      <w:r>
        <w:rPr>
          <w:rFonts w:asciiTheme="minorEastAsia" w:hAnsiTheme="minorEastAsia" w:eastAsiaTheme="minorEastAsia"/>
          <w:bCs/>
          <w:szCs w:val="28"/>
        </w:rPr>
        <w:t>黑木耳、</w:t>
      </w:r>
      <w:r>
        <w:rPr>
          <w:rFonts w:hint="eastAsia" w:asciiTheme="minorEastAsia" w:hAnsiTheme="minorEastAsia" w:eastAsiaTheme="minorEastAsia"/>
          <w:bCs/>
          <w:szCs w:val="28"/>
        </w:rPr>
        <w:t>反季节</w:t>
      </w:r>
      <w:r>
        <w:rPr>
          <w:rFonts w:asciiTheme="minorEastAsia" w:hAnsiTheme="minorEastAsia" w:eastAsiaTheme="minorEastAsia"/>
          <w:bCs/>
          <w:szCs w:val="28"/>
        </w:rPr>
        <w:t>秀珍菇、</w:t>
      </w:r>
      <w:r>
        <w:rPr>
          <w:rFonts w:hint="eastAsia" w:asciiTheme="minorEastAsia" w:hAnsiTheme="minorEastAsia" w:eastAsiaTheme="minorEastAsia"/>
          <w:bCs/>
          <w:szCs w:val="28"/>
        </w:rPr>
        <w:t>蘑菇</w:t>
      </w:r>
      <w:r>
        <w:rPr>
          <w:rFonts w:asciiTheme="minorEastAsia" w:hAnsiTheme="minorEastAsia" w:eastAsiaTheme="minorEastAsia"/>
          <w:bCs/>
          <w:szCs w:val="28"/>
        </w:rPr>
        <w:t>、灵芝等食用菌，每年的食用菌供不应求，</w:t>
      </w:r>
      <w:r>
        <w:rPr>
          <w:rFonts w:hint="eastAsia" w:asciiTheme="minorEastAsia" w:hAnsiTheme="minorEastAsia" w:eastAsiaTheme="minorEastAsia"/>
          <w:bCs/>
          <w:szCs w:val="28"/>
        </w:rPr>
        <w:t>销售状况</w:t>
      </w:r>
      <w:r>
        <w:rPr>
          <w:rFonts w:asciiTheme="minorEastAsia" w:hAnsiTheme="minorEastAsia" w:eastAsiaTheme="minorEastAsia"/>
          <w:bCs/>
          <w:szCs w:val="28"/>
        </w:rPr>
        <w:t>良好。</w:t>
      </w:r>
    </w:p>
    <w:p>
      <w:pPr>
        <w:pStyle w:val="4"/>
        <w:spacing w:before="156" w:after="156"/>
        <w:ind w:firstLine="452"/>
      </w:pPr>
      <w:r>
        <w:rPr>
          <w:rFonts w:hint="eastAsia"/>
        </w:rPr>
        <w:t>（二）物流情况</w:t>
      </w:r>
    </w:p>
    <w:p>
      <w:pPr>
        <w:ind w:firstLine="562"/>
        <w:rPr>
          <w:rFonts w:ascii="宋体" w:hAnsi="宋体"/>
          <w:b/>
        </w:rPr>
      </w:pPr>
      <w:r>
        <w:rPr>
          <w:rFonts w:hint="eastAsia" w:ascii="宋体" w:hAnsi="宋体"/>
          <w:b/>
        </w:rPr>
        <w:t>1.葡萄、甜玉米、</w:t>
      </w:r>
      <w:r>
        <w:rPr>
          <w:rFonts w:ascii="宋体" w:hAnsi="宋体"/>
          <w:b/>
        </w:rPr>
        <w:t>食用菌</w:t>
      </w:r>
      <w:r>
        <w:rPr>
          <w:rFonts w:hint="eastAsia" w:ascii="宋体" w:hAnsi="宋体"/>
          <w:b/>
        </w:rPr>
        <w:t>产业</w:t>
      </w:r>
    </w:p>
    <w:p>
      <w:pPr>
        <w:ind w:firstLine="560"/>
        <w:rPr>
          <w:b/>
          <w:bCs/>
        </w:rPr>
      </w:pPr>
      <w:r>
        <w:rPr>
          <w:rFonts w:hint="eastAsia"/>
        </w:rPr>
        <w:t>目前全县</w:t>
      </w:r>
      <w:r>
        <w:t>葡萄</w:t>
      </w:r>
      <w:r>
        <w:rPr>
          <w:rFonts w:hint="eastAsia"/>
        </w:rPr>
        <w:t>、甜玉米、</w:t>
      </w:r>
      <w:r>
        <w:t>食用菌</w:t>
      </w:r>
      <w:r>
        <w:rPr>
          <w:rFonts w:hint="eastAsia"/>
        </w:rPr>
        <w:t>以鲜销为主，通过合作社、家庭农场和经纪能人收购销往全国各地，</w:t>
      </w:r>
      <w:r>
        <w:t>主要</w:t>
      </w:r>
      <w:r>
        <w:rPr>
          <w:rFonts w:hint="eastAsia"/>
        </w:rPr>
        <w:t>为两广</w:t>
      </w:r>
      <w:r>
        <w:t>地区</w:t>
      </w:r>
      <w:r>
        <w:rPr>
          <w:rFonts w:hint="eastAsia"/>
        </w:rPr>
        <w:t>等</w:t>
      </w:r>
      <w:r>
        <w:t>，</w:t>
      </w:r>
      <w:r>
        <w:rPr>
          <w:rFonts w:hint="eastAsia"/>
        </w:rPr>
        <w:t>产品远销北京、上海、广东</w:t>
      </w:r>
      <w:r>
        <w:t>、</w:t>
      </w:r>
      <w:r>
        <w:rPr>
          <w:rFonts w:hint="eastAsia"/>
        </w:rPr>
        <w:t>香港等地。产品</w:t>
      </w:r>
      <w:r>
        <w:t>经采收</w:t>
      </w:r>
      <w:r>
        <w:rPr>
          <w:rFonts w:hint="eastAsia"/>
        </w:rPr>
        <w:t>——分级</w:t>
      </w:r>
      <w:r>
        <w:t>包装</w:t>
      </w:r>
      <w:r>
        <w:rPr>
          <w:rFonts w:hint="eastAsia"/>
        </w:rPr>
        <w:t>——预冷</w:t>
      </w:r>
      <w:r>
        <w:t>等初级加工处理后</w:t>
      </w:r>
      <w:r>
        <w:rPr>
          <w:rFonts w:hint="eastAsia"/>
        </w:rPr>
        <w:t>，</w:t>
      </w:r>
      <w:r>
        <w:t>通过大货车直接运送</w:t>
      </w:r>
      <w:r>
        <w:rPr>
          <w:rFonts w:hint="eastAsia"/>
        </w:rPr>
        <w:t>往</w:t>
      </w:r>
      <w:r>
        <w:t>各大农场品交易市场</w:t>
      </w:r>
      <w:r>
        <w:rPr>
          <w:rFonts w:hint="eastAsia"/>
        </w:rPr>
        <w:t>，运输车辆也为普通大货车；目前网上销售，小件主要以快递方式运送，大件以货运物流方式运送，总体来说物流体系还不健全。兴安县</w:t>
      </w:r>
      <w:r>
        <w:t>葡萄</w:t>
      </w:r>
      <w:r>
        <w:rPr>
          <w:rFonts w:hint="eastAsia"/>
        </w:rPr>
        <w:t>、甜玉米、</w:t>
      </w:r>
      <w:r>
        <w:t>食用菌产业</w:t>
      </w:r>
      <w:r>
        <w:rPr>
          <w:rFonts w:hint="eastAsia"/>
        </w:rPr>
        <w:t>形成了“公司+农民专业合作社（家庭农场）+基地+农户”的产业化发展模式，带动</w:t>
      </w:r>
      <w:r>
        <w:t>葡萄</w:t>
      </w:r>
      <w:r>
        <w:rPr>
          <w:rFonts w:hint="eastAsia"/>
        </w:rPr>
        <w:t>、甜玉米、</w:t>
      </w:r>
      <w:r>
        <w:t>食用菌</w:t>
      </w:r>
      <w:r>
        <w:rPr>
          <w:rFonts w:hint="eastAsia"/>
        </w:rPr>
        <w:t>全产业链发展，采用线上</w:t>
      </w:r>
      <w:r>
        <w:t>线下相结合的销售方式，</w:t>
      </w:r>
      <w:r>
        <w:rPr>
          <w:rFonts w:hint="eastAsia"/>
        </w:rPr>
        <w:t>大力发展农产品电子商务。</w:t>
      </w:r>
    </w:p>
    <w:p>
      <w:pPr>
        <w:ind w:firstLine="703" w:firstLineChars="250"/>
        <w:rPr>
          <w:b/>
          <w:color w:val="000000"/>
        </w:rPr>
      </w:pPr>
      <w:r>
        <w:rPr>
          <w:rFonts w:hint="eastAsia" w:asciiTheme="minorEastAsia" w:hAnsiTheme="minorEastAsia" w:eastAsiaTheme="minorEastAsia"/>
          <w:b/>
          <w:bCs/>
          <w:szCs w:val="28"/>
        </w:rPr>
        <w:t>2.银杏</w:t>
      </w:r>
      <w:r>
        <w:rPr>
          <w:rFonts w:asciiTheme="minorEastAsia" w:hAnsiTheme="minorEastAsia" w:eastAsiaTheme="minorEastAsia"/>
          <w:b/>
          <w:bCs/>
          <w:szCs w:val="28"/>
        </w:rPr>
        <w:t>产业</w:t>
      </w:r>
    </w:p>
    <w:p>
      <w:pPr>
        <w:ind w:firstLine="700" w:firstLineChars="250"/>
        <w:rPr>
          <w:rFonts w:ascii="宋体" w:hAnsi="宋体" w:cs="宋体"/>
          <w:szCs w:val="28"/>
        </w:rPr>
      </w:pPr>
      <w:r>
        <w:rPr>
          <w:rFonts w:hint="eastAsia" w:ascii="宋体" w:hAnsi="宋体" w:cs="宋体"/>
          <w:szCs w:val="28"/>
        </w:rPr>
        <w:t>银杏</w:t>
      </w:r>
      <w:r>
        <w:rPr>
          <w:rFonts w:ascii="宋体" w:hAnsi="宋体" w:cs="宋体"/>
          <w:szCs w:val="28"/>
        </w:rPr>
        <w:t>树的果实俗称白果，</w:t>
      </w:r>
      <w:r>
        <w:rPr>
          <w:rFonts w:hint="eastAsia" w:ascii="宋体" w:hAnsi="宋体" w:cs="宋体"/>
          <w:szCs w:val="28"/>
        </w:rPr>
        <w:t>白果主要以</w:t>
      </w:r>
      <w:r>
        <w:rPr>
          <w:rFonts w:ascii="宋体" w:hAnsi="宋体" w:cs="宋体"/>
          <w:szCs w:val="28"/>
        </w:rPr>
        <w:t>银杏酒</w:t>
      </w:r>
      <w:r>
        <w:rPr>
          <w:rFonts w:hint="eastAsia" w:ascii="宋体" w:hAnsi="宋体" w:cs="宋体"/>
          <w:szCs w:val="28"/>
        </w:rPr>
        <w:t>为主，经采收——筛选加工处理后酿</w:t>
      </w:r>
      <w:r>
        <w:rPr>
          <w:rFonts w:ascii="宋体" w:hAnsi="宋体" w:cs="宋体"/>
          <w:szCs w:val="28"/>
        </w:rPr>
        <w:t>成银杏酒，</w:t>
      </w:r>
      <w:r>
        <w:rPr>
          <w:rFonts w:hint="eastAsia" w:ascii="宋体" w:hAnsi="宋体" w:cs="宋体"/>
          <w:szCs w:val="28"/>
        </w:rPr>
        <w:t>洞藏5年</w:t>
      </w:r>
      <w:r>
        <w:rPr>
          <w:rFonts w:ascii="宋体" w:hAnsi="宋体" w:cs="宋体"/>
          <w:szCs w:val="28"/>
        </w:rPr>
        <w:t>后方可进入市场，</w:t>
      </w:r>
      <w:r>
        <w:rPr>
          <w:rFonts w:hint="eastAsia" w:ascii="宋体" w:hAnsi="宋体" w:cs="宋体"/>
          <w:szCs w:val="28"/>
        </w:rPr>
        <w:t>产品在广西、</w:t>
      </w:r>
      <w:r>
        <w:rPr>
          <w:rFonts w:ascii="宋体" w:hAnsi="宋体" w:cs="宋体"/>
          <w:szCs w:val="28"/>
        </w:rPr>
        <w:t>广东、湖南等</w:t>
      </w:r>
      <w:r>
        <w:rPr>
          <w:rFonts w:hint="eastAsia" w:ascii="宋体" w:hAnsi="宋体" w:cs="宋体"/>
          <w:szCs w:val="28"/>
        </w:rPr>
        <w:t>城市接受</w:t>
      </w:r>
      <w:r>
        <w:rPr>
          <w:rFonts w:ascii="宋体" w:hAnsi="宋体" w:cs="宋体"/>
          <w:szCs w:val="28"/>
        </w:rPr>
        <w:t>度较高</w:t>
      </w:r>
      <w:r>
        <w:rPr>
          <w:rFonts w:hint="eastAsia" w:ascii="宋体" w:hAnsi="宋体" w:cs="宋体"/>
          <w:szCs w:val="28"/>
        </w:rPr>
        <w:t>，试销</w:t>
      </w:r>
      <w:r>
        <w:rPr>
          <w:rFonts w:ascii="宋体" w:hAnsi="宋体" w:cs="宋体"/>
          <w:szCs w:val="28"/>
        </w:rPr>
        <w:t>效果良好，产品市场可期</w:t>
      </w:r>
      <w:r>
        <w:rPr>
          <w:rFonts w:hint="eastAsia" w:ascii="宋体" w:hAnsi="宋体" w:cs="宋体"/>
          <w:szCs w:val="28"/>
        </w:rPr>
        <w:t>。</w:t>
      </w:r>
    </w:p>
    <w:p>
      <w:pPr>
        <w:ind w:firstLine="560" w:firstLineChars="0"/>
        <w:rPr>
          <w:rFonts w:asciiTheme="minorEastAsia" w:hAnsiTheme="minorEastAsia" w:eastAsiaTheme="minorEastAsia"/>
          <w:b/>
          <w:bCs/>
          <w:szCs w:val="28"/>
        </w:rPr>
      </w:pPr>
      <w:r>
        <w:rPr>
          <w:rFonts w:hint="eastAsia" w:asciiTheme="minorEastAsia" w:hAnsiTheme="minorEastAsia" w:eastAsiaTheme="minorEastAsia"/>
          <w:b/>
          <w:bCs/>
          <w:szCs w:val="28"/>
        </w:rPr>
        <w:t>3.柑桔</w:t>
      </w:r>
      <w:r>
        <w:rPr>
          <w:rFonts w:asciiTheme="minorEastAsia" w:hAnsiTheme="minorEastAsia" w:eastAsiaTheme="minorEastAsia"/>
          <w:b/>
          <w:bCs/>
          <w:szCs w:val="28"/>
        </w:rPr>
        <w:t>产业</w:t>
      </w:r>
    </w:p>
    <w:p>
      <w:pPr>
        <w:ind w:firstLine="560"/>
        <w:rPr>
          <w:rFonts w:ascii="宋体" w:hAnsi="宋体" w:cs="宋体"/>
          <w:szCs w:val="28"/>
        </w:rPr>
      </w:pPr>
      <w:r>
        <w:rPr>
          <w:rFonts w:hint="eastAsia" w:ascii="宋体" w:hAnsi="宋体" w:cs="宋体"/>
          <w:color w:val="0D0D0D"/>
          <w:szCs w:val="28"/>
        </w:rPr>
        <w:t>目前，兴安柑桔主要销往</w:t>
      </w:r>
      <w:r>
        <w:rPr>
          <w:rFonts w:hint="eastAsia" w:ascii="宋体" w:hAnsi="宋体" w:cs="宋体"/>
          <w:color w:val="000000" w:themeColor="text1"/>
          <w:szCs w:val="28"/>
          <w14:textFill>
            <w14:solidFill>
              <w14:schemeClr w14:val="tx1"/>
            </w14:solidFill>
          </w14:textFill>
        </w:rPr>
        <w:t>广西、上海、深圳、武汉、成都</w:t>
      </w:r>
      <w:r>
        <w:rPr>
          <w:rFonts w:hint="eastAsia" w:ascii="宋体" w:hAnsi="宋体" w:cs="宋体"/>
          <w:color w:val="0D0D0D"/>
          <w:szCs w:val="28"/>
        </w:rPr>
        <w:t>等大中城市，经采收——清洗——选果——打蜡——分级包装等初级加工处理后，通过大货车直接运往各大水果交易市场，小件主要以快递方式运送，大件以货运物流方式运送，总体来说物流体系还不健全。网上也</w:t>
      </w:r>
      <w:r>
        <w:rPr>
          <w:rFonts w:ascii="宋体" w:hAnsi="宋体" w:cs="宋体"/>
          <w:color w:val="0D0D0D"/>
          <w:szCs w:val="28"/>
        </w:rPr>
        <w:t>销售商品，</w:t>
      </w:r>
      <w:r>
        <w:rPr>
          <w:rFonts w:hint="eastAsia" w:ascii="宋体" w:hAnsi="宋体" w:cs="宋体"/>
          <w:szCs w:val="28"/>
        </w:rPr>
        <w:t>桂林日盛食品有限责任公司于2</w:t>
      </w:r>
      <w:r>
        <w:rPr>
          <w:rFonts w:ascii="宋体" w:hAnsi="宋体" w:cs="宋体"/>
          <w:szCs w:val="28"/>
        </w:rPr>
        <w:t>015</w:t>
      </w:r>
      <w:r>
        <w:rPr>
          <w:rFonts w:hint="eastAsia" w:ascii="宋体" w:hAnsi="宋体" w:cs="宋体"/>
          <w:szCs w:val="28"/>
        </w:rPr>
        <w:t>年成功</w:t>
      </w:r>
      <w:r>
        <w:rPr>
          <w:rFonts w:ascii="宋体" w:hAnsi="宋体" w:cs="宋体"/>
          <w:szCs w:val="28"/>
        </w:rPr>
        <w:t>注册“</w:t>
      </w:r>
      <w:r>
        <w:rPr>
          <w:rFonts w:hint="eastAsia" w:ascii="宋体" w:hAnsi="宋体" w:cs="宋体"/>
          <w:szCs w:val="28"/>
        </w:rPr>
        <w:t>日盛</w:t>
      </w:r>
      <w:r>
        <w:rPr>
          <w:rFonts w:ascii="宋体" w:hAnsi="宋体" w:cs="宋体"/>
          <w:szCs w:val="28"/>
        </w:rPr>
        <w:t>食品”</w:t>
      </w:r>
      <w:r>
        <w:rPr>
          <w:rFonts w:hint="eastAsia" w:ascii="宋体" w:hAnsi="宋体" w:cs="宋体"/>
          <w:szCs w:val="28"/>
        </w:rPr>
        <w:t>商标</w:t>
      </w:r>
      <w:r>
        <w:rPr>
          <w:rFonts w:ascii="宋体" w:hAnsi="宋体" w:cs="宋体"/>
          <w:szCs w:val="28"/>
        </w:rPr>
        <w:t>，</w:t>
      </w:r>
      <w:r>
        <w:rPr>
          <w:rFonts w:hint="eastAsia" w:ascii="宋体" w:hAnsi="宋体" w:cs="宋体"/>
          <w:szCs w:val="28"/>
        </w:rPr>
        <w:t>便开始着手拓宽产品销路，并通过</w:t>
      </w:r>
      <w:r>
        <w:rPr>
          <w:rFonts w:ascii="宋体" w:hAnsi="宋体" w:cs="宋体"/>
          <w:szCs w:val="28"/>
        </w:rPr>
        <w:t>深加工</w:t>
      </w:r>
      <w:r>
        <w:rPr>
          <w:rFonts w:hint="eastAsia" w:ascii="宋体" w:hAnsi="宋体" w:cs="宋体"/>
          <w:szCs w:val="28"/>
        </w:rPr>
        <w:t>制作</w:t>
      </w:r>
      <w:r>
        <w:rPr>
          <w:rFonts w:ascii="宋体" w:hAnsi="宋体" w:cs="宋体"/>
          <w:szCs w:val="28"/>
        </w:rPr>
        <w:t>成罐头副产品，</w:t>
      </w:r>
      <w:r>
        <w:rPr>
          <w:rFonts w:hint="eastAsia" w:ascii="宋体" w:hAnsi="宋体" w:cs="宋体"/>
          <w:szCs w:val="28"/>
        </w:rPr>
        <w:t>公司采取线上与线下销售相结合的方式，与天猫、</w:t>
      </w:r>
      <w:r>
        <w:rPr>
          <w:rFonts w:ascii="宋体" w:hAnsi="宋体" w:cs="宋体"/>
          <w:szCs w:val="28"/>
        </w:rPr>
        <w:t>微信商城</w:t>
      </w:r>
      <w:r>
        <w:rPr>
          <w:rFonts w:hint="eastAsia" w:ascii="宋体" w:hAnsi="宋体" w:cs="宋体"/>
          <w:szCs w:val="28"/>
        </w:rPr>
        <w:t>、</w:t>
      </w:r>
      <w:r>
        <w:rPr>
          <w:rFonts w:ascii="宋体" w:hAnsi="宋体" w:cs="宋体"/>
          <w:szCs w:val="28"/>
        </w:rPr>
        <w:t>京东、苏宁易购</w:t>
      </w:r>
      <w:r>
        <w:rPr>
          <w:rFonts w:hint="eastAsia" w:ascii="宋体" w:hAnsi="宋体" w:cs="宋体"/>
          <w:szCs w:val="28"/>
        </w:rPr>
        <w:t>等线上电商合作，通过电商销售柑桔。</w:t>
      </w:r>
    </w:p>
    <w:p>
      <w:pPr>
        <w:pStyle w:val="3"/>
        <w:ind w:firstLine="643"/>
        <w:rPr>
          <w:rFonts w:ascii="宋体" w:hAnsi="宋体" w:cs="宋体"/>
        </w:rPr>
      </w:pPr>
      <w:r>
        <w:fldChar w:fldCharType="begin"/>
      </w:r>
      <w:r>
        <w:instrText xml:space="preserve"> HYPERLINK \l "_Toc529132024" </w:instrText>
      </w:r>
      <w:r>
        <w:fldChar w:fldCharType="separate"/>
      </w:r>
      <w:bookmarkStart w:id="45" w:name="_Toc18417394"/>
      <w:bookmarkStart w:id="46" w:name="_Toc21594838"/>
      <w:r>
        <w:rPr>
          <w:rFonts w:hint="eastAsia" w:ascii="宋体" w:hAnsi="宋体" w:cs="宋体"/>
        </w:rPr>
        <w:t>四、主导产业前景与发展趋势分析</w:t>
      </w:r>
      <w:bookmarkEnd w:id="45"/>
      <w:bookmarkEnd w:id="46"/>
      <w:r>
        <w:rPr>
          <w:rFonts w:hint="eastAsia" w:ascii="宋体" w:hAnsi="宋体" w:cs="宋体"/>
        </w:rPr>
        <w:fldChar w:fldCharType="end"/>
      </w:r>
      <w:bookmarkStart w:id="47" w:name="_Toc510461920"/>
    </w:p>
    <w:p>
      <w:pPr>
        <w:pStyle w:val="4"/>
        <w:spacing w:before="156" w:after="156"/>
        <w:ind w:firstLine="452"/>
      </w:pPr>
      <w:bookmarkStart w:id="48" w:name="_Toc21594839"/>
      <w:r>
        <w:rPr>
          <w:rFonts w:hint="eastAsia"/>
        </w:rPr>
        <w:t>（一）主导产业发展前景分析</w:t>
      </w:r>
      <w:bookmarkEnd w:id="47"/>
      <w:bookmarkEnd w:id="48"/>
    </w:p>
    <w:p>
      <w:pPr>
        <w:ind w:left="560" w:firstLine="0" w:firstLineChars="0"/>
        <w:rPr>
          <w:rFonts w:ascii="仿宋" w:hAnsi="仿宋"/>
          <w:b/>
          <w:szCs w:val="28"/>
        </w:rPr>
      </w:pPr>
      <w:r>
        <w:rPr>
          <w:rFonts w:hint="eastAsia" w:ascii="仿宋" w:hAnsi="仿宋"/>
          <w:b/>
          <w:szCs w:val="28"/>
        </w:rPr>
        <w:t>1.</w:t>
      </w:r>
      <w:r>
        <w:rPr>
          <w:rFonts w:ascii="仿宋" w:hAnsi="仿宋"/>
          <w:b/>
          <w:szCs w:val="28"/>
        </w:rPr>
        <w:t>市场需求量大</w:t>
      </w:r>
    </w:p>
    <w:p>
      <w:pPr>
        <w:widowControl/>
        <w:ind w:firstLine="560"/>
        <w:jc w:val="left"/>
        <w:rPr>
          <w:rFonts w:ascii="仿宋" w:hAnsi="仿宋"/>
          <w:b/>
          <w:szCs w:val="28"/>
        </w:rPr>
      </w:pPr>
      <w:r>
        <w:rPr>
          <w:rFonts w:hint="eastAsia"/>
        </w:rPr>
        <w:t>水果、甜玉米</w:t>
      </w:r>
      <w:r>
        <w:t>、食用菌已</w:t>
      </w:r>
      <w:r>
        <w:rPr>
          <w:rFonts w:hint="eastAsia"/>
        </w:rPr>
        <w:t>是人们日常中必不可少的食物之一。近年来国内外</w:t>
      </w:r>
      <w:r>
        <w:t>市场发生重大转折</w:t>
      </w:r>
      <w:r>
        <w:rPr>
          <w:rFonts w:hint="eastAsia"/>
        </w:rPr>
        <w:t>，反季节</w:t>
      </w:r>
      <w:r>
        <w:t>的需求量持续增长，</w:t>
      </w:r>
      <w:r>
        <w:rPr>
          <w:rFonts w:hint="eastAsia"/>
        </w:rPr>
        <w:t>转向</w:t>
      </w:r>
      <w:r>
        <w:t>多样化和特需化、</w:t>
      </w:r>
      <w:r>
        <w:rPr>
          <w:rFonts w:hint="eastAsia"/>
        </w:rPr>
        <w:t>多元化</w:t>
      </w:r>
      <w:r>
        <w:t>和高档化，</w:t>
      </w:r>
      <w:r>
        <w:rPr>
          <w:rFonts w:hint="eastAsia"/>
        </w:rPr>
        <w:t>质量</w:t>
      </w:r>
      <w:r>
        <w:t>要求转向</w:t>
      </w:r>
      <w:r>
        <w:rPr>
          <w:rFonts w:hint="eastAsia"/>
        </w:rPr>
        <w:t>优质</w:t>
      </w:r>
      <w:r>
        <w:t>化、营养化和无害化。</w:t>
      </w:r>
      <w:r>
        <w:rPr>
          <w:rFonts w:hint="eastAsia"/>
        </w:rPr>
        <w:t>随着城乡人民生活水平的不断提高，优质、安全、多样化的产品需求量</w:t>
      </w:r>
      <w:r>
        <w:rPr>
          <w:rFonts w:hint="eastAsia"/>
          <w:lang w:eastAsia="zh-CN"/>
        </w:rPr>
        <w:t>与日俱增</w:t>
      </w:r>
      <w:r>
        <w:rPr>
          <w:rFonts w:hint="eastAsia"/>
        </w:rPr>
        <w:t>，放手发展生产面临新机遇。市县区内市场需求旺盛，实施水果、</w:t>
      </w:r>
      <w:r>
        <w:t>生鲜食品</w:t>
      </w:r>
      <w:r>
        <w:rPr>
          <w:rFonts w:hint="eastAsia"/>
        </w:rPr>
        <w:t>产业化开发前景广阔。兴安县应提高产品</w:t>
      </w:r>
      <w:r>
        <w:t>质量</w:t>
      </w:r>
      <w:r>
        <w:rPr>
          <w:rFonts w:hint="eastAsia"/>
        </w:rPr>
        <w:t>，生产能力，缓解季节性供需矛盾，创建加工、贮藏，加强水果、甜玉米</w:t>
      </w:r>
      <w:r>
        <w:t>、食用菌</w:t>
      </w:r>
      <w:r>
        <w:rPr>
          <w:rFonts w:hint="eastAsia"/>
        </w:rPr>
        <w:t>产后保鲜、贮藏，延长产业链条，切实增加农民收入。</w:t>
      </w:r>
    </w:p>
    <w:p>
      <w:pPr>
        <w:ind w:left="560" w:firstLine="0" w:firstLineChars="0"/>
        <w:rPr>
          <w:rFonts w:ascii="仿宋" w:hAnsi="仿宋"/>
          <w:b/>
          <w:szCs w:val="28"/>
        </w:rPr>
      </w:pPr>
      <w:r>
        <w:rPr>
          <w:rFonts w:hint="eastAsia" w:ascii="仿宋" w:hAnsi="仿宋"/>
          <w:b/>
          <w:szCs w:val="28"/>
        </w:rPr>
        <w:t>2.生产</w:t>
      </w:r>
      <w:r>
        <w:rPr>
          <w:rFonts w:ascii="仿宋" w:hAnsi="仿宋"/>
          <w:b/>
          <w:szCs w:val="28"/>
        </w:rPr>
        <w:t>技术的提高推动行业发展</w:t>
      </w:r>
    </w:p>
    <w:p>
      <w:pPr>
        <w:ind w:firstLine="560"/>
        <w:rPr>
          <w:rFonts w:ascii="仿宋" w:hAnsi="仿宋"/>
          <w:szCs w:val="28"/>
        </w:rPr>
      </w:pPr>
      <w:r>
        <w:rPr>
          <w:rFonts w:hint="eastAsia" w:ascii="仿宋" w:hAnsi="仿宋"/>
          <w:szCs w:val="28"/>
        </w:rPr>
        <w:t>近年来国家在政策</w:t>
      </w:r>
      <w:r>
        <w:rPr>
          <w:rFonts w:ascii="仿宋" w:hAnsi="仿宋"/>
          <w:szCs w:val="28"/>
        </w:rPr>
        <w:t>上大力支持</w:t>
      </w:r>
      <w:r>
        <w:rPr>
          <w:rFonts w:hint="eastAsia" w:ascii="仿宋" w:hAnsi="仿宋"/>
          <w:szCs w:val="28"/>
        </w:rPr>
        <w:t>农产品</w:t>
      </w:r>
      <w:r>
        <w:rPr>
          <w:rFonts w:ascii="仿宋" w:hAnsi="仿宋"/>
          <w:szCs w:val="28"/>
        </w:rPr>
        <w:t>发展以及</w:t>
      </w:r>
      <w:r>
        <w:rPr>
          <w:rFonts w:hint="eastAsia" w:ascii="仿宋" w:hAnsi="仿宋"/>
          <w:szCs w:val="28"/>
        </w:rPr>
        <w:t>产业</w:t>
      </w:r>
      <w:r>
        <w:rPr>
          <w:rFonts w:ascii="仿宋" w:hAnsi="仿宋"/>
          <w:szCs w:val="28"/>
        </w:rPr>
        <w:t>的</w:t>
      </w:r>
      <w:r>
        <w:rPr>
          <w:rFonts w:hint="eastAsia" w:ascii="仿宋" w:hAnsi="仿宋"/>
          <w:szCs w:val="28"/>
        </w:rPr>
        <w:t>科研</w:t>
      </w:r>
      <w:r>
        <w:rPr>
          <w:rFonts w:ascii="仿宋" w:hAnsi="仿宋"/>
          <w:szCs w:val="28"/>
        </w:rPr>
        <w:t>投入，</w:t>
      </w:r>
      <w:r>
        <w:rPr>
          <w:rFonts w:hint="eastAsia" w:ascii="仿宋" w:hAnsi="仿宋"/>
          <w:szCs w:val="28"/>
        </w:rPr>
        <w:t>水果</w:t>
      </w:r>
      <w:r>
        <w:rPr>
          <w:rFonts w:ascii="仿宋" w:hAnsi="仿宋"/>
          <w:szCs w:val="28"/>
        </w:rPr>
        <w:t>、</w:t>
      </w:r>
      <w:r>
        <w:rPr>
          <w:rFonts w:hint="eastAsia" w:ascii="仿宋" w:hAnsi="仿宋"/>
          <w:szCs w:val="28"/>
        </w:rPr>
        <w:t>甜玉米、</w:t>
      </w:r>
      <w:r>
        <w:rPr>
          <w:rFonts w:ascii="仿宋" w:hAnsi="仿宋"/>
          <w:szCs w:val="28"/>
        </w:rPr>
        <w:t>食用菌产业</w:t>
      </w:r>
      <w:r>
        <w:rPr>
          <w:rFonts w:hint="eastAsia" w:ascii="仿宋" w:hAnsi="仿宋"/>
          <w:szCs w:val="28"/>
        </w:rPr>
        <w:t>质</w:t>
      </w:r>
      <w:r>
        <w:rPr>
          <w:rFonts w:ascii="仿宋" w:hAnsi="仿宋"/>
          <w:szCs w:val="28"/>
        </w:rPr>
        <w:t>量都有了不同程度的飞跃。在自主</w:t>
      </w:r>
      <w:r>
        <w:rPr>
          <w:rFonts w:hint="eastAsia" w:ascii="仿宋" w:hAnsi="仿宋"/>
          <w:szCs w:val="28"/>
        </w:rPr>
        <w:t>知识</w:t>
      </w:r>
      <w:r>
        <w:rPr>
          <w:rFonts w:ascii="仿宋" w:hAnsi="仿宋"/>
          <w:szCs w:val="28"/>
        </w:rPr>
        <w:t>产权设施装备与环境控制系统研究与开发、设施</w:t>
      </w:r>
      <w:r>
        <w:rPr>
          <w:rFonts w:hint="eastAsia" w:ascii="仿宋" w:hAnsi="仿宋"/>
          <w:szCs w:val="28"/>
        </w:rPr>
        <w:t>农产品生物学</w:t>
      </w:r>
      <w:r>
        <w:rPr>
          <w:rFonts w:ascii="仿宋" w:hAnsi="仿宋"/>
          <w:szCs w:val="28"/>
        </w:rPr>
        <w:t>与基因功能基础研究、设施专用种质种苗选育和应用、优质高产</w:t>
      </w:r>
      <w:r>
        <w:rPr>
          <w:rFonts w:hint="eastAsia" w:ascii="仿宋" w:hAnsi="仿宋"/>
          <w:szCs w:val="28"/>
        </w:rPr>
        <w:t>高效</w:t>
      </w:r>
      <w:r>
        <w:rPr>
          <w:rFonts w:ascii="仿宋" w:hAnsi="仿宋"/>
          <w:szCs w:val="28"/>
        </w:rPr>
        <w:t>栽培技术体系、资源高效利用与连作障碍</w:t>
      </w:r>
      <w:r>
        <w:rPr>
          <w:rFonts w:hint="eastAsia" w:ascii="仿宋" w:hAnsi="仿宋"/>
          <w:szCs w:val="28"/>
        </w:rPr>
        <w:t>克服</w:t>
      </w:r>
      <w:r>
        <w:rPr>
          <w:rFonts w:ascii="仿宋" w:hAnsi="仿宋"/>
          <w:szCs w:val="28"/>
        </w:rPr>
        <w:t>、设施农产品安全保障、</w:t>
      </w:r>
      <w:r>
        <w:rPr>
          <w:rFonts w:hint="eastAsia" w:ascii="仿宋" w:hAnsi="仿宋"/>
          <w:szCs w:val="28"/>
        </w:rPr>
        <w:t>采</w:t>
      </w:r>
      <w:r>
        <w:rPr>
          <w:rFonts w:ascii="仿宋" w:hAnsi="仿宋"/>
          <w:szCs w:val="28"/>
        </w:rPr>
        <w:t>后加工与配套设施技术研究方面均取得了一定的成果。</w:t>
      </w:r>
      <w:r>
        <w:rPr>
          <w:rFonts w:hint="eastAsia" w:ascii="仿宋" w:hAnsi="仿宋"/>
          <w:szCs w:val="28"/>
        </w:rPr>
        <w:t>无公害、绿色标准化生产技术以及相关成果</w:t>
      </w:r>
      <w:r>
        <w:rPr>
          <w:rFonts w:ascii="仿宋" w:hAnsi="仿宋"/>
          <w:szCs w:val="28"/>
        </w:rPr>
        <w:t>大面积推广应用，成为</w:t>
      </w:r>
      <w:r>
        <w:rPr>
          <w:rFonts w:hint="eastAsia" w:ascii="仿宋" w:hAnsi="仿宋"/>
          <w:szCs w:val="28"/>
        </w:rPr>
        <w:t>农产品</w:t>
      </w:r>
      <w:r>
        <w:rPr>
          <w:rFonts w:ascii="仿宋" w:hAnsi="仿宋"/>
          <w:szCs w:val="28"/>
        </w:rPr>
        <w:t>产业</w:t>
      </w:r>
      <w:r>
        <w:rPr>
          <w:rFonts w:hint="eastAsia" w:ascii="仿宋" w:hAnsi="仿宋"/>
          <w:szCs w:val="28"/>
        </w:rPr>
        <w:t>持续</w:t>
      </w:r>
      <w:r>
        <w:rPr>
          <w:rFonts w:ascii="仿宋" w:hAnsi="仿宋"/>
          <w:szCs w:val="28"/>
        </w:rPr>
        <w:t>发展的重要支撑。</w:t>
      </w:r>
    </w:p>
    <w:p>
      <w:pPr>
        <w:ind w:firstLine="560"/>
        <w:rPr>
          <w:rFonts w:ascii="仿宋" w:hAnsi="仿宋"/>
          <w:szCs w:val="28"/>
        </w:rPr>
      </w:pPr>
    </w:p>
    <w:p>
      <w:pPr>
        <w:pStyle w:val="4"/>
        <w:spacing w:before="156" w:after="156"/>
        <w:ind w:firstLine="452"/>
      </w:pPr>
      <w:r>
        <w:rPr>
          <w:rFonts w:hint="eastAsia"/>
        </w:rPr>
        <w:t>（二）主导产业发展趋势分析</w:t>
      </w:r>
    </w:p>
    <w:p>
      <w:pPr>
        <w:widowControl/>
        <w:spacing w:before="150" w:after="150"/>
        <w:ind w:firstLine="562"/>
        <w:jc w:val="left"/>
        <w:rPr>
          <w:rFonts w:ascii="宋体" w:hAnsi="宋体" w:cs="宋体"/>
          <w:b/>
          <w:kern w:val="0"/>
          <w:szCs w:val="28"/>
        </w:rPr>
      </w:pPr>
      <w:r>
        <w:rPr>
          <w:rFonts w:hint="eastAsia" w:ascii="宋体" w:hAnsi="宋体" w:cs="宋体"/>
          <w:b/>
          <w:kern w:val="0"/>
          <w:szCs w:val="28"/>
        </w:rPr>
        <w:t>1.品牌开路，依靠精品创效益</w:t>
      </w:r>
    </w:p>
    <w:p>
      <w:pPr>
        <w:widowControl/>
        <w:spacing w:before="150" w:after="150"/>
        <w:ind w:firstLine="560"/>
        <w:jc w:val="left"/>
        <w:rPr>
          <w:rFonts w:ascii="宋体" w:hAnsi="宋体" w:cs="宋体"/>
          <w:kern w:val="0"/>
          <w:szCs w:val="28"/>
        </w:rPr>
      </w:pPr>
      <w:r>
        <w:rPr>
          <w:rFonts w:hint="eastAsia" w:ascii="宋体" w:hAnsi="宋体" w:cs="宋体"/>
          <w:kern w:val="0"/>
          <w:szCs w:val="28"/>
        </w:rPr>
        <w:t>由于人们消费观念日益成熟，买水果看品牌选精品已成时尚。同样是葡萄类水果，有品牌的</w:t>
      </w:r>
      <w:r>
        <w:rPr>
          <w:rFonts w:ascii="宋体" w:hAnsi="宋体" w:cs="宋体"/>
          <w:kern w:val="0"/>
          <w:szCs w:val="28"/>
        </w:rPr>
        <w:t>水果</w:t>
      </w:r>
      <w:r>
        <w:rPr>
          <w:rFonts w:hint="eastAsia" w:ascii="宋体" w:hAnsi="宋体" w:cs="宋体"/>
          <w:kern w:val="0"/>
          <w:szCs w:val="28"/>
        </w:rPr>
        <w:t>始终盛销。可见水果的竞争实际是质量和品牌的竞争。为此，对即将上市的葡萄和</w:t>
      </w:r>
      <w:r>
        <w:rPr>
          <w:rFonts w:ascii="宋体" w:hAnsi="宋体" w:cs="宋体"/>
          <w:kern w:val="0"/>
          <w:szCs w:val="28"/>
        </w:rPr>
        <w:t>柑桔</w:t>
      </w:r>
      <w:r>
        <w:rPr>
          <w:rFonts w:hint="eastAsia" w:ascii="宋体" w:hAnsi="宋体" w:cs="宋体"/>
          <w:kern w:val="0"/>
          <w:szCs w:val="28"/>
        </w:rPr>
        <w:t>，要认真精选、分类分级、提高产品档次，对名优品种树立自己的商标品牌。在销售上，既要大力宣传产品名牌档次和商标，又要科学包装，以质优价美来创造效益。</w:t>
      </w:r>
    </w:p>
    <w:p>
      <w:pPr>
        <w:ind w:left="560" w:firstLine="0" w:firstLineChars="0"/>
        <w:rPr>
          <w:rFonts w:ascii="仿宋" w:hAnsi="仿宋"/>
          <w:b/>
          <w:szCs w:val="28"/>
        </w:rPr>
      </w:pPr>
      <w:r>
        <w:rPr>
          <w:rFonts w:ascii="仿宋" w:hAnsi="仿宋"/>
          <w:b/>
          <w:szCs w:val="28"/>
        </w:rPr>
        <w:t>2</w:t>
      </w:r>
      <w:r>
        <w:rPr>
          <w:rFonts w:hint="eastAsia" w:ascii="仿宋" w:hAnsi="仿宋"/>
          <w:b/>
          <w:szCs w:val="28"/>
        </w:rPr>
        <w:t>.品</w:t>
      </w:r>
      <w:r>
        <w:rPr>
          <w:rFonts w:ascii="仿宋" w:hAnsi="仿宋"/>
          <w:b/>
          <w:szCs w:val="28"/>
        </w:rPr>
        <w:t>种多元化</w:t>
      </w:r>
    </w:p>
    <w:p>
      <w:pPr>
        <w:ind w:firstLine="560"/>
      </w:pPr>
      <w:r>
        <w:rPr>
          <w:rFonts w:hint="eastAsia"/>
        </w:rPr>
        <w:t>随着</w:t>
      </w:r>
      <w:r>
        <w:t>消费市场的多元化发展，适应不同的消费群体、不同季节、不同</w:t>
      </w:r>
      <w:r>
        <w:rPr>
          <w:rFonts w:hint="eastAsia"/>
        </w:rPr>
        <w:t>属性</w:t>
      </w:r>
      <w:r>
        <w:t>的</w:t>
      </w:r>
      <w:r>
        <w:rPr>
          <w:rFonts w:hint="eastAsia"/>
        </w:rPr>
        <w:t>农产品</w:t>
      </w:r>
      <w:r>
        <w:t>新品种</w:t>
      </w:r>
      <w:r>
        <w:rPr>
          <w:rFonts w:hint="eastAsia"/>
        </w:rPr>
        <w:t>将</w:t>
      </w:r>
      <w:r>
        <w:t>不断涌现。质</w:t>
      </w:r>
      <w:r>
        <w:rPr>
          <w:rFonts w:hint="eastAsia"/>
        </w:rPr>
        <w:t>优</w:t>
      </w:r>
      <w:r>
        <w:t>味美</w:t>
      </w:r>
      <w:r>
        <w:rPr>
          <w:rFonts w:hint="eastAsia"/>
        </w:rPr>
        <w:t>型</w:t>
      </w:r>
      <w:r>
        <w:t>、绿色安全型</w:t>
      </w:r>
      <w:r>
        <w:rPr>
          <w:rFonts w:hint="eastAsia"/>
        </w:rPr>
        <w:t>等</w:t>
      </w:r>
      <w:r>
        <w:t>将越来越受消费者的欢迎。</w:t>
      </w:r>
    </w:p>
    <w:p>
      <w:pPr>
        <w:ind w:left="560" w:firstLine="0" w:firstLineChars="0"/>
        <w:rPr>
          <w:rFonts w:ascii="仿宋" w:hAnsi="仿宋"/>
          <w:b/>
          <w:szCs w:val="28"/>
        </w:rPr>
      </w:pPr>
      <w:r>
        <w:rPr>
          <w:rFonts w:ascii="仿宋" w:hAnsi="仿宋"/>
          <w:b/>
          <w:szCs w:val="28"/>
        </w:rPr>
        <w:t>3</w:t>
      </w:r>
      <w:r>
        <w:rPr>
          <w:rFonts w:hint="eastAsia" w:ascii="仿宋" w:hAnsi="仿宋"/>
          <w:b/>
          <w:szCs w:val="28"/>
        </w:rPr>
        <w:t>.技术标准化</w:t>
      </w:r>
    </w:p>
    <w:p>
      <w:pPr>
        <w:ind w:firstLine="560"/>
        <w:rPr>
          <w:rFonts w:ascii="仿宋" w:hAnsi="仿宋"/>
          <w:szCs w:val="28"/>
        </w:rPr>
      </w:pPr>
      <w:r>
        <w:rPr>
          <w:rFonts w:hint="eastAsia" w:ascii="仿宋" w:hAnsi="仿宋"/>
          <w:szCs w:val="28"/>
        </w:rPr>
        <w:t>国内外都</w:t>
      </w:r>
      <w:r>
        <w:rPr>
          <w:rFonts w:ascii="仿宋" w:hAnsi="仿宋"/>
          <w:szCs w:val="28"/>
        </w:rPr>
        <w:t>将加强</w:t>
      </w:r>
      <w:r>
        <w:rPr>
          <w:rFonts w:hint="eastAsia" w:ascii="仿宋" w:hAnsi="仿宋"/>
          <w:szCs w:val="28"/>
        </w:rPr>
        <w:t>果蔬</w:t>
      </w:r>
      <w:r>
        <w:rPr>
          <w:rFonts w:ascii="仿宋" w:hAnsi="仿宋"/>
          <w:szCs w:val="28"/>
        </w:rPr>
        <w:t>认证体系建设，无害化</w:t>
      </w:r>
      <w:r>
        <w:rPr>
          <w:rFonts w:hint="eastAsia" w:ascii="仿宋" w:hAnsi="仿宋"/>
          <w:szCs w:val="28"/>
        </w:rPr>
        <w:t>水果</w:t>
      </w:r>
      <w:r>
        <w:rPr>
          <w:rFonts w:ascii="仿宋" w:hAnsi="仿宋"/>
          <w:szCs w:val="28"/>
        </w:rPr>
        <w:t>将成为我国产品的主体，农户在生产种避免使用高</w:t>
      </w:r>
      <w:r>
        <w:rPr>
          <w:rFonts w:hint="eastAsia" w:ascii="仿宋" w:hAnsi="仿宋"/>
          <w:szCs w:val="28"/>
        </w:rPr>
        <w:t>毒</w:t>
      </w:r>
      <w:r>
        <w:rPr>
          <w:rFonts w:ascii="仿宋" w:hAnsi="仿宋"/>
          <w:szCs w:val="28"/>
        </w:rPr>
        <w:t>和剧毒农药，注意防止产种的硝酸盐污染和重金属污染，绿色</w:t>
      </w:r>
      <w:r>
        <w:rPr>
          <w:rFonts w:hint="eastAsia" w:ascii="仿宋" w:hAnsi="仿宋"/>
          <w:szCs w:val="28"/>
        </w:rPr>
        <w:t>果蔬</w:t>
      </w:r>
      <w:r>
        <w:rPr>
          <w:rFonts w:ascii="仿宋" w:hAnsi="仿宋"/>
          <w:szCs w:val="28"/>
        </w:rPr>
        <w:t>将成为未来</w:t>
      </w:r>
      <w:r>
        <w:rPr>
          <w:rFonts w:hint="eastAsia" w:ascii="仿宋" w:hAnsi="仿宋"/>
          <w:szCs w:val="28"/>
        </w:rPr>
        <w:t>果蔬产业</w:t>
      </w:r>
      <w:r>
        <w:rPr>
          <w:rFonts w:ascii="仿宋" w:hAnsi="仿宋"/>
          <w:szCs w:val="28"/>
        </w:rPr>
        <w:t>发展的方向。</w:t>
      </w:r>
    </w:p>
    <w:p>
      <w:pPr>
        <w:ind w:firstLine="0" w:firstLineChars="0"/>
        <w:rPr>
          <w:rFonts w:ascii="仿宋" w:hAnsi="仿宋"/>
          <w:szCs w:val="28"/>
        </w:rPr>
      </w:pPr>
    </w:p>
    <w:p>
      <w:pPr>
        <w:ind w:firstLine="562"/>
        <w:rPr>
          <w:rFonts w:ascii="仿宋" w:hAnsi="仿宋"/>
          <w:szCs w:val="28"/>
        </w:rPr>
      </w:pPr>
      <w:r>
        <w:rPr>
          <w:rFonts w:ascii="宋体" w:hAnsi="宋体" w:cs="宋体"/>
          <w:b/>
          <w:kern w:val="0"/>
          <w:szCs w:val="28"/>
        </w:rPr>
        <w:t>4</w:t>
      </w:r>
      <w:r>
        <w:rPr>
          <w:rFonts w:hint="eastAsia" w:ascii="宋体" w:hAnsi="宋体" w:cs="宋体"/>
          <w:b/>
          <w:kern w:val="0"/>
          <w:szCs w:val="28"/>
        </w:rPr>
        <w:t>.保鲜贮藏，延长产品销售期</w:t>
      </w:r>
    </w:p>
    <w:p>
      <w:pPr>
        <w:widowControl/>
        <w:spacing w:before="150" w:after="150"/>
        <w:ind w:firstLine="560"/>
        <w:jc w:val="left"/>
        <w:rPr>
          <w:rFonts w:ascii="宋体" w:hAnsi="宋体" w:cs="宋体"/>
          <w:kern w:val="0"/>
          <w:szCs w:val="28"/>
        </w:rPr>
      </w:pPr>
      <w:r>
        <w:rPr>
          <w:rFonts w:hint="eastAsia" w:ascii="宋体" w:hAnsi="宋体" w:cs="宋体"/>
          <w:kern w:val="0"/>
          <w:szCs w:val="28"/>
        </w:rPr>
        <w:t>葡萄、</w:t>
      </w:r>
      <w:r>
        <w:rPr>
          <w:rFonts w:ascii="宋体" w:hAnsi="宋体" w:cs="宋体"/>
          <w:kern w:val="0"/>
          <w:szCs w:val="28"/>
        </w:rPr>
        <w:t>柑桔、甜玉米、食用菌</w:t>
      </w:r>
      <w:r>
        <w:rPr>
          <w:rFonts w:hint="eastAsia" w:ascii="宋体" w:hAnsi="宋体" w:cs="宋体"/>
          <w:kern w:val="0"/>
          <w:szCs w:val="28"/>
        </w:rPr>
        <w:t>是生鲜商品，具有上市集中易腐变质的特点，因此搞好包装、贮藏、保鲜是关键。据悉每年全国约有20%-25%的产品因贮藏保管不及时而腐烂损失。因此应加大对产品的贮藏设施、运输设备的资金和技术投入，广大农户和经营者应在现有条件下，对生鲜商品采取早已卓有成效的药剂保鲜、冰箱冷藏等方法、条件好的可进入冷库和气调库。防止变质损失,有效延长销售期，错开上市高峰，在淡季卖个好价钱。</w:t>
      </w:r>
    </w:p>
    <w:p>
      <w:pPr>
        <w:widowControl/>
        <w:spacing w:before="150" w:after="150"/>
        <w:ind w:firstLine="562"/>
        <w:jc w:val="left"/>
        <w:rPr>
          <w:rFonts w:ascii="宋体" w:hAnsi="宋体" w:cs="宋体"/>
          <w:b/>
          <w:kern w:val="0"/>
          <w:szCs w:val="28"/>
        </w:rPr>
      </w:pPr>
      <w:r>
        <w:rPr>
          <w:rFonts w:ascii="宋体" w:hAnsi="宋体" w:cs="宋体"/>
          <w:b/>
          <w:kern w:val="0"/>
          <w:szCs w:val="28"/>
        </w:rPr>
        <w:t>5</w:t>
      </w:r>
      <w:r>
        <w:rPr>
          <w:rFonts w:hint="eastAsia" w:ascii="宋体" w:hAnsi="宋体" w:cs="宋体"/>
          <w:b/>
          <w:kern w:val="0"/>
          <w:szCs w:val="28"/>
        </w:rPr>
        <w:t>.开发深加工，提高产品转化率</w:t>
      </w:r>
    </w:p>
    <w:p>
      <w:pPr>
        <w:widowControl/>
        <w:spacing w:before="150" w:after="150"/>
        <w:ind w:firstLine="560"/>
        <w:jc w:val="left"/>
      </w:pPr>
      <w:r>
        <w:rPr>
          <w:rFonts w:hint="eastAsia" w:ascii="宋体" w:hAnsi="宋体" w:cs="宋体"/>
          <w:kern w:val="0"/>
          <w:szCs w:val="28"/>
        </w:rPr>
        <w:t>多年实践证明，</w:t>
      </w:r>
      <w:r>
        <w:rPr>
          <w:rFonts w:hint="eastAsia"/>
        </w:rPr>
        <w:t>开发产品深加工，是当前解决的出路、增加产品附加值的一个重要途径。我国目前的加工能力不足，80%以上果蔬仍然做生鲜出售，一旦市场滞销即积压损失。产品深加工将成为迎合消费升级、解决滞销难题的重要途径，加强深</w:t>
      </w:r>
      <w:r>
        <w:t>加工开发前景广阔</w:t>
      </w:r>
      <w:r>
        <w:rPr>
          <w:rFonts w:hint="eastAsia"/>
        </w:rPr>
        <w:t>，</w:t>
      </w:r>
      <w:r>
        <w:t>强化深加工能力</w:t>
      </w:r>
      <w:r>
        <w:rPr>
          <w:rFonts w:hint="eastAsia"/>
        </w:rPr>
        <w:t>，</w:t>
      </w:r>
      <w:r>
        <w:t>拓宽</w:t>
      </w:r>
      <w:r>
        <w:rPr>
          <w:rFonts w:hint="eastAsia"/>
        </w:rPr>
        <w:t>产品</w:t>
      </w:r>
      <w:r>
        <w:t>产业链已经成为产业</w:t>
      </w:r>
      <w:r>
        <w:rPr>
          <w:rFonts w:hint="eastAsia"/>
        </w:rPr>
        <w:t>的发展</w:t>
      </w:r>
      <w:r>
        <w:t>趋势。</w:t>
      </w:r>
    </w:p>
    <w:p>
      <w:pPr>
        <w:widowControl/>
        <w:spacing w:before="150" w:after="150"/>
        <w:ind w:firstLine="560"/>
        <w:jc w:val="left"/>
      </w:pPr>
    </w:p>
    <w:p>
      <w:pPr>
        <w:pStyle w:val="3"/>
        <w:ind w:firstLine="643"/>
      </w:pPr>
      <w:bookmarkStart w:id="49" w:name="_Toc18417395"/>
      <w:bookmarkStart w:id="50" w:name="_Toc21594840"/>
      <w:r>
        <w:rPr>
          <w:rFonts w:hint="eastAsia"/>
        </w:rPr>
        <w:t>五、主导产业市场分析</w:t>
      </w:r>
      <w:bookmarkEnd w:id="49"/>
      <w:bookmarkEnd w:id="50"/>
    </w:p>
    <w:p>
      <w:pPr>
        <w:pStyle w:val="4"/>
        <w:spacing w:before="156" w:after="156"/>
        <w:ind w:firstLine="452"/>
      </w:pPr>
      <w:bookmarkStart w:id="51" w:name="_Toc3541085"/>
      <w:r>
        <w:rPr>
          <w:rFonts w:hint="eastAsia"/>
        </w:rPr>
        <w:t>（一）国际市场分析</w:t>
      </w:r>
      <w:bookmarkEnd w:id="51"/>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世界上约有</w:t>
      </w:r>
      <w:r>
        <w:rPr>
          <w:color w:val="000000" w:themeColor="text1"/>
          <w14:textFill>
            <w14:solidFill>
              <w14:schemeClr w14:val="tx1"/>
            </w14:solidFill>
          </w14:textFill>
        </w:rPr>
        <w:t>85%</w:t>
      </w:r>
      <w:r>
        <w:rPr>
          <w:rFonts w:hint="eastAsia"/>
          <w:color w:val="000000" w:themeColor="text1"/>
          <w14:textFill>
            <w14:solidFill>
              <w14:schemeClr w14:val="tx1"/>
            </w14:solidFill>
          </w14:textFill>
        </w:rPr>
        <w:t>的葡萄被用来加工，</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被用来制干，只有</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作为鲜食。但是在我国的葡萄生产中，超过</w:t>
      </w:r>
      <w:r>
        <w:rPr>
          <w:color w:val="000000" w:themeColor="text1"/>
          <w14:textFill>
            <w14:solidFill>
              <w14:schemeClr w14:val="tx1"/>
            </w14:solidFill>
          </w14:textFill>
        </w:rPr>
        <w:t>85%</w:t>
      </w:r>
      <w:r>
        <w:rPr>
          <w:rFonts w:hint="eastAsia"/>
          <w:color w:val="000000" w:themeColor="text1"/>
          <w14:textFill>
            <w14:solidFill>
              <w14:schemeClr w14:val="tx1"/>
            </w14:solidFill>
          </w14:textFill>
        </w:rPr>
        <w:t>被用于鲜食，和国际市场差距巨大。随着人民生活水平的逐步提高，科学技术的发展以及人们保健意识的改变，我国酿造加工业登上舞台，人们将会逐渐喜欢酒精度低、营养价值高的葡萄酒，因此，酿造加工品种将得到大力发展。兴安县葡萄主要用于鲜食，未来可向葡萄精深</w:t>
      </w:r>
      <w:r>
        <w:rPr>
          <w:color w:val="000000" w:themeColor="text1"/>
          <w14:textFill>
            <w14:solidFill>
              <w14:schemeClr w14:val="tx1"/>
            </w14:solidFill>
          </w14:textFill>
        </w:rPr>
        <w:t>加工</w:t>
      </w:r>
      <w:r>
        <w:rPr>
          <w:rFonts w:hint="eastAsia"/>
          <w:color w:val="000000" w:themeColor="text1"/>
          <w14:textFill>
            <w14:solidFill>
              <w14:schemeClr w14:val="tx1"/>
            </w14:solidFill>
          </w14:textFill>
        </w:rPr>
        <w:t>方向发展，</w:t>
      </w:r>
      <w:r>
        <w:rPr>
          <w:color w:val="000000" w:themeColor="text1"/>
          <w14:textFill>
            <w14:solidFill>
              <w14:schemeClr w14:val="tx1"/>
            </w14:solidFill>
          </w14:textFill>
        </w:rPr>
        <w:t>加工葡萄水果罐头、葡萄酒、葡萄</w:t>
      </w:r>
      <w:r>
        <w:rPr>
          <w:rFonts w:hint="eastAsia"/>
          <w:color w:val="000000" w:themeColor="text1"/>
          <w14:textFill>
            <w14:solidFill>
              <w14:schemeClr w14:val="tx1"/>
            </w14:solidFill>
          </w14:textFill>
        </w:rPr>
        <w:t>饮料</w:t>
      </w:r>
      <w:r>
        <w:rPr>
          <w:color w:val="000000" w:themeColor="text1"/>
          <w14:textFill>
            <w14:solidFill>
              <w14:schemeClr w14:val="tx1"/>
            </w14:solidFill>
          </w14:textFill>
        </w:rPr>
        <w:t>等，提高葡萄的产业链与经济效益。</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中国是银杏的故乡，银杏资源占全世界的</w:t>
      </w:r>
      <w:r>
        <w:rPr>
          <w:color w:val="000000" w:themeColor="text1"/>
          <w14:textFill>
            <w14:solidFill>
              <w14:schemeClr w14:val="tx1"/>
            </w14:solidFill>
          </w14:textFill>
        </w:rPr>
        <w:t>70%</w:t>
      </w:r>
      <w:r>
        <w:rPr>
          <w:rFonts w:hint="eastAsia"/>
          <w:color w:val="000000" w:themeColor="text1"/>
          <w14:textFill>
            <w14:solidFill>
              <w14:schemeClr w14:val="tx1"/>
            </w14:solidFill>
          </w14:textFill>
        </w:rPr>
        <w:t>左右，兴安县是</w:t>
      </w:r>
      <w:r>
        <w:rPr>
          <w:rFonts w:ascii="宋体" w:hAnsi="宋体"/>
          <w:color w:val="000000" w:themeColor="text1"/>
          <w14:textFill>
            <w14:solidFill>
              <w14:schemeClr w14:val="tx1"/>
            </w14:solidFill>
          </w14:textFill>
        </w:rPr>
        <w:t>“</w:t>
      </w:r>
      <w:r>
        <w:rPr>
          <w:rFonts w:hint="eastAsia"/>
          <w:color w:val="000000" w:themeColor="text1"/>
          <w14:textFill>
            <w14:solidFill>
              <w14:schemeClr w14:val="tx1"/>
            </w14:solidFill>
          </w14:textFill>
        </w:rPr>
        <w:t>中国银杏之乡</w:t>
      </w:r>
      <w:r>
        <w:rPr>
          <w:rFonts w:ascii="宋体" w:hAnsi="宋体"/>
          <w:color w:val="000000" w:themeColor="text1"/>
          <w14:textFill>
            <w14:solidFill>
              <w14:schemeClr w14:val="tx1"/>
            </w14:solidFill>
          </w14:textFill>
        </w:rPr>
        <w:t>”</w:t>
      </w:r>
      <w:r>
        <w:rPr>
          <w:rFonts w:hint="eastAsia"/>
          <w:color w:val="000000" w:themeColor="text1"/>
          <w14:textFill>
            <w14:solidFill>
              <w14:schemeClr w14:val="tx1"/>
            </w14:solidFill>
          </w14:textFill>
        </w:rPr>
        <w:t>。从市场发展来看，美国、德国出品银杏叶提取物，主要原料银杏叶来自于中国。现在国内市场许多银杏制品，如银杏药片、银杏珍珠胶囊、中华银杏酒、银杏酮冲剂等在国内外市场销售十分火爆。</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中国甜玉米种植面积超过</w:t>
      </w:r>
      <w:r>
        <w:rPr>
          <w:color w:val="000000" w:themeColor="text1"/>
          <w14:textFill>
            <w14:solidFill>
              <w14:schemeClr w14:val="tx1"/>
            </w14:solidFill>
          </w14:textFill>
        </w:rPr>
        <w:t>600</w:t>
      </w:r>
      <w:r>
        <w:rPr>
          <w:rFonts w:hint="eastAsia"/>
          <w:color w:val="000000" w:themeColor="text1"/>
          <w14:textFill>
            <w14:solidFill>
              <w14:schemeClr w14:val="tx1"/>
            </w14:solidFill>
          </w14:textFill>
        </w:rPr>
        <w:t>万亩，主要分布在有广东、广西、海南、福建、江西、云南、浙江、湖北等省份。其中，广东省甜玉米面积约占全国</w:t>
      </w:r>
      <w:r>
        <w:rPr>
          <w:color w:val="000000" w:themeColor="text1"/>
          <w14:textFill>
            <w14:solidFill>
              <w14:schemeClr w14:val="tx1"/>
            </w14:solidFill>
          </w14:textFill>
        </w:rPr>
        <w:t xml:space="preserve">60% </w:t>
      </w:r>
      <w:r>
        <w:rPr>
          <w:rFonts w:hint="eastAsia"/>
          <w:color w:val="000000" w:themeColor="text1"/>
          <w14:textFill>
            <w14:solidFill>
              <w14:schemeClr w14:val="tx1"/>
            </w14:solidFill>
          </w14:textFill>
        </w:rPr>
        <w:t>以上，近年来，广西、云南省甜玉米发展迅速，成为我国第二大甜玉米主产区。广西甜玉米生产规模大，兴安县是广西第二大甜玉米生产基地，是甜玉米生产大县。甜玉米市场价每公斤鲜玉米</w:t>
      </w:r>
      <w:r>
        <w:rPr>
          <w:color w:val="000000" w:themeColor="text1"/>
          <w14:textFill>
            <w14:solidFill>
              <w14:schemeClr w14:val="tx1"/>
            </w14:solidFill>
          </w14:textFill>
        </w:rPr>
        <w:t>2.6</w:t>
      </w:r>
      <w:r>
        <w:rPr>
          <w:rFonts w:hint="eastAsia"/>
          <w:color w:val="000000" w:themeColor="text1"/>
          <w14:textFill>
            <w14:solidFill>
              <w14:schemeClr w14:val="tx1"/>
            </w14:solidFill>
          </w14:textFill>
        </w:rPr>
        <w:t>元，一亩能得</w:t>
      </w:r>
      <w:r>
        <w:rPr>
          <w:color w:val="000000" w:themeColor="text1"/>
          <w14:textFill>
            <w14:solidFill>
              <w14:schemeClr w14:val="tx1"/>
            </w14:solidFill>
          </w14:textFill>
        </w:rPr>
        <w:t>4000</w:t>
      </w:r>
      <w:r>
        <w:rPr>
          <w:rFonts w:hint="eastAsia"/>
          <w:color w:val="000000" w:themeColor="text1"/>
          <w14:textFill>
            <w14:solidFill>
              <w14:schemeClr w14:val="tx1"/>
            </w14:solidFill>
          </w14:textFill>
        </w:rPr>
        <w:t>元左右。不仅鲜玉米能销售出去，连秸秆也有地方收购，进行青饲料加工。</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柑桔是世界第一大水果，面积和产量均居世界各类水果之首。全球柑桔栽培面积前十的国家分别是：中国、印度、尼日利亚、巴西、墨西哥、美国、西班牙、埃及、意大利和阿根廷。中国平均亩产保持在1500斤左右，和世界平均水平基本持平。柑桔是世界第三大贸易农产品，世界柑桔</w:t>
      </w:r>
      <w:r>
        <w:rPr>
          <w:color w:val="000000" w:themeColor="text1"/>
          <w14:textFill>
            <w14:solidFill>
              <w14:schemeClr w14:val="tx1"/>
            </w14:solidFill>
          </w14:textFill>
        </w:rPr>
        <w:t>贸易逐年增长。</w:t>
      </w:r>
      <w:r>
        <w:rPr>
          <w:rFonts w:hint="eastAsia"/>
          <w:color w:val="000000" w:themeColor="text1"/>
          <w14:textFill>
            <w14:solidFill>
              <w14:schemeClr w14:val="tx1"/>
            </w14:solidFill>
          </w14:textFill>
        </w:rPr>
        <w:t>兴安县柑桔出口</w:t>
      </w:r>
      <w:r>
        <w:rPr>
          <w:color w:val="000000" w:themeColor="text1"/>
          <w14:textFill>
            <w14:solidFill>
              <w14:schemeClr w14:val="tx1"/>
            </w14:solidFill>
          </w14:textFill>
        </w:rPr>
        <w:t>主要销往</w:t>
      </w:r>
      <w:r>
        <w:rPr>
          <w:rFonts w:hint="eastAsia"/>
          <w:color w:val="000000" w:themeColor="text1"/>
          <w14:textFill>
            <w14:solidFill>
              <w14:schemeClr w14:val="tx1"/>
            </w14:solidFill>
          </w14:textFill>
        </w:rPr>
        <w:t>越南</w:t>
      </w:r>
      <w:r>
        <w:rPr>
          <w:color w:val="000000" w:themeColor="text1"/>
          <w14:textFill>
            <w14:solidFill>
              <w14:schemeClr w14:val="tx1"/>
            </w14:solidFill>
          </w14:textFill>
        </w:rPr>
        <w:t>等周边国家</w:t>
      </w:r>
      <w:r>
        <w:rPr>
          <w:rFonts w:hint="eastAsia"/>
          <w:color w:val="000000" w:themeColor="text1"/>
          <w14:textFill>
            <w14:solidFill>
              <w14:schemeClr w14:val="tx1"/>
            </w14:solidFill>
          </w14:textFill>
        </w:rPr>
        <w:t>。</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中国是最早栽培、利用食用菌的国家之一。食用菌具有极高的营养价值，含有丰富的蛋白质和氨基酸，其含量是一般蔬菜和水果的几倍到几十倍。近几年，中国食用菌产业获得了迅猛发展，现已成为世界上第一食用菌生产大国。作为世界食用菌生产大国，我国不仅拥有丰富的菌品种，而且产量也相当高。我国食用菌有</w:t>
      </w:r>
      <w:r>
        <w:rPr>
          <w:color w:val="000000" w:themeColor="text1"/>
          <w14:textFill>
            <w14:solidFill>
              <w14:schemeClr w14:val="tx1"/>
            </w14:solidFill>
          </w14:textFill>
        </w:rPr>
        <w:t>900</w:t>
      </w:r>
      <w:r>
        <w:rPr>
          <w:rFonts w:hint="eastAsia"/>
          <w:color w:val="000000" w:themeColor="text1"/>
          <w14:textFill>
            <w14:solidFill>
              <w14:schemeClr w14:val="tx1"/>
            </w14:solidFill>
          </w14:textFill>
        </w:rPr>
        <w:t>多个品种，鲜菌年产量高达</w:t>
      </w:r>
      <w:r>
        <w:rPr>
          <w:color w:val="000000" w:themeColor="text1"/>
          <w14:textFill>
            <w14:solidFill>
              <w14:schemeClr w14:val="tx1"/>
            </w14:solidFill>
          </w14:textFill>
        </w:rPr>
        <w:t>876</w:t>
      </w:r>
      <w:r>
        <w:rPr>
          <w:rFonts w:hint="eastAsia"/>
          <w:color w:val="000000" w:themeColor="text1"/>
          <w14:textFill>
            <w14:solidFill>
              <w14:schemeClr w14:val="tx1"/>
            </w14:solidFill>
          </w14:textFill>
        </w:rPr>
        <w:t>万吨，占到了世界总产量的</w:t>
      </w:r>
      <w:r>
        <w:rPr>
          <w:color w:val="000000" w:themeColor="text1"/>
          <w14:textFill>
            <w14:solidFill>
              <w14:schemeClr w14:val="tx1"/>
            </w14:solidFill>
          </w14:textFill>
        </w:rPr>
        <w:t>65</w:t>
      </w:r>
      <w:r>
        <w:rPr>
          <w:rFonts w:hint="eastAsia"/>
          <w:color w:val="000000" w:themeColor="text1"/>
          <w14:textFill>
            <w14:solidFill>
              <w14:schemeClr w14:val="tx1"/>
            </w14:solidFill>
          </w14:textFill>
        </w:rPr>
        <w:t>％。我国食用菌发展迅速，已满足国内的需求，并且每年出口量巨大。中国新鲜或冷藏类、盐水腌制类与干品类食用菌出口市场集中度高，主要集中于美国、日本、英国、德国、意大利、法国、荷兰、中国香港等传统市场，且对这些传统市场的依赖程度较高；罐头类食用菌出口集中度低，依赖程度也较低。</w:t>
      </w:r>
    </w:p>
    <w:p>
      <w:pPr>
        <w:pStyle w:val="4"/>
        <w:spacing w:before="156" w:after="156"/>
        <w:ind w:firstLine="452"/>
      </w:pPr>
      <w:bookmarkStart w:id="52" w:name="_Toc3541086"/>
      <w:r>
        <w:rPr>
          <w:rFonts w:hint="eastAsia"/>
        </w:rPr>
        <w:t>（二）国内市场分析</w:t>
      </w:r>
      <w:bookmarkEnd w:id="52"/>
    </w:p>
    <w:p>
      <w:pPr>
        <w:spacing w:line="600" w:lineRule="exact"/>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葡萄产业我国目前初步形成的产业带或者产业群包括西北及黄土高原葡萄产业带、东北及西南特色葡萄产业带、环渤海湾葡萄产业带、黄河故道、长三角南方葡萄产业带等。其中光环渤海湾和西北及黄土高原产业带种植的葡萄就占全国总种植面积的</w:t>
      </w:r>
      <w:r>
        <w:rPr>
          <w:color w:val="000000" w:themeColor="text1"/>
          <w14:textFill>
            <w14:solidFill>
              <w14:schemeClr w14:val="tx1"/>
            </w14:solidFill>
          </w14:textFill>
        </w:rPr>
        <w:t>66.23%</w:t>
      </w:r>
      <w:r>
        <w:rPr>
          <w:rFonts w:hint="eastAsia"/>
          <w:color w:val="000000" w:themeColor="text1"/>
          <w14:textFill>
            <w14:solidFill>
              <w14:schemeClr w14:val="tx1"/>
            </w14:solidFill>
          </w14:textFill>
        </w:rPr>
        <w:t>，产量占全国总产量的</w:t>
      </w:r>
      <w:r>
        <w:rPr>
          <w:color w:val="000000" w:themeColor="text1"/>
          <w14:textFill>
            <w14:solidFill>
              <w14:schemeClr w14:val="tx1"/>
            </w14:solidFill>
          </w14:textFill>
        </w:rPr>
        <w:t>69.2%</w:t>
      </w:r>
      <w:r>
        <w:rPr>
          <w:rFonts w:hint="eastAsia"/>
          <w:color w:val="000000" w:themeColor="text1"/>
          <w14:textFill>
            <w14:solidFill>
              <w14:schemeClr w14:val="tx1"/>
            </w14:solidFill>
          </w14:textFill>
        </w:rPr>
        <w:t>。兴安</w:t>
      </w:r>
      <w:r>
        <w:rPr>
          <w:color w:val="000000" w:themeColor="text1"/>
          <w14:textFill>
            <w14:solidFill>
              <w14:schemeClr w14:val="tx1"/>
            </w14:solidFill>
          </w14:textFill>
        </w:rPr>
        <w:t>县葡萄主要销往</w:t>
      </w:r>
      <w:r>
        <w:rPr>
          <w:rFonts w:hint="eastAsia"/>
          <w:color w:val="000000" w:themeColor="text1"/>
          <w14:textFill>
            <w14:solidFill>
              <w14:schemeClr w14:val="tx1"/>
            </w14:solidFill>
          </w14:textFill>
        </w:rPr>
        <w:t>广西</w:t>
      </w:r>
      <w:r>
        <w:rPr>
          <w:color w:val="000000" w:themeColor="text1"/>
          <w14:textFill>
            <w14:solidFill>
              <w14:schemeClr w14:val="tx1"/>
            </w14:solidFill>
          </w14:textFill>
        </w:rPr>
        <w:t>本地、广东、湖南、湖北等省市。</w:t>
      </w:r>
    </w:p>
    <w:p>
      <w:pPr>
        <w:spacing w:line="600" w:lineRule="exact"/>
        <w:ind w:firstLine="560"/>
        <w:rPr>
          <w:rFonts w:asciiTheme="minorEastAsia" w:hAnsiTheme="minorEastAsia" w:eastAsiaTheme="minorEastAsia"/>
          <w:color w:val="000000" w:themeColor="text1"/>
          <w14:textFill>
            <w14:solidFill>
              <w14:schemeClr w14:val="tx1"/>
            </w14:solidFill>
          </w14:textFill>
        </w:rPr>
      </w:pPr>
      <w:r>
        <w:rPr>
          <w:rFonts w:hint="eastAsia"/>
          <w:color w:val="000000" w:themeColor="text1"/>
          <w14:textFill>
            <w14:solidFill>
              <w14:schemeClr w14:val="tx1"/>
            </w14:solidFill>
          </w14:textFill>
        </w:rPr>
        <w:t>兴安县是全国重要的银杏生产基地，</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世纪</w:t>
      </w:r>
      <w:r>
        <w:rPr>
          <w:color w:val="000000" w:themeColor="text1"/>
          <w14:textFill>
            <w14:solidFill>
              <w14:schemeClr w14:val="tx1"/>
            </w14:solidFill>
          </w14:textFill>
        </w:rPr>
        <w:t>90</w:t>
      </w:r>
      <w:r>
        <w:rPr>
          <w:rFonts w:hint="eastAsia"/>
          <w:color w:val="000000" w:themeColor="text1"/>
          <w14:textFill>
            <w14:solidFill>
              <w14:schemeClr w14:val="tx1"/>
            </w14:solidFill>
          </w14:textFill>
        </w:rPr>
        <w:t>年代种植面积达</w:t>
      </w:r>
      <w:r>
        <w:rPr>
          <w:color w:val="000000" w:themeColor="text1"/>
          <w14:textFill>
            <w14:solidFill>
              <w14:schemeClr w14:val="tx1"/>
            </w14:solidFill>
          </w14:textFill>
        </w:rPr>
        <w:t>19.5</w:t>
      </w:r>
      <w:r>
        <w:rPr>
          <w:rFonts w:hint="eastAsia"/>
          <w:color w:val="000000" w:themeColor="text1"/>
          <w14:textFill>
            <w14:solidFill>
              <w14:schemeClr w14:val="tx1"/>
            </w14:solidFill>
          </w14:textFill>
        </w:rPr>
        <w:t>万亩，年均年产量</w:t>
      </w:r>
      <w:r>
        <w:rPr>
          <w:color w:val="000000" w:themeColor="text1"/>
          <w14:textFill>
            <w14:solidFill>
              <w14:schemeClr w14:val="tx1"/>
            </w14:solidFill>
          </w14:textFill>
        </w:rPr>
        <w:t>3000</w:t>
      </w:r>
      <w:r>
        <w:rPr>
          <w:rFonts w:hint="eastAsia"/>
          <w:color w:val="000000" w:themeColor="text1"/>
          <w14:textFill>
            <w14:solidFill>
              <w14:schemeClr w14:val="tx1"/>
            </w14:solidFill>
          </w14:textFill>
        </w:rPr>
        <w:t>吨左右，产量仅次于江苏的泰兴县，居全国第二位。近些年来</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银杏市场逐渐步入低谷。兴安县由桂林兴安县银杏源酒业有限公司兴安带动，从农民手中收购白果，加工银杏酒，年加工白果达到</w:t>
      </w:r>
      <w:r>
        <w:rPr>
          <w:color w:val="000000" w:themeColor="text1"/>
          <w14:textFill>
            <w14:solidFill>
              <w14:schemeClr w14:val="tx1"/>
            </w14:solidFill>
          </w14:textFill>
        </w:rPr>
        <w:t>1000</w:t>
      </w:r>
      <w:r>
        <w:rPr>
          <w:rFonts w:hint="eastAsia"/>
          <w:color w:val="000000" w:themeColor="text1"/>
          <w14:textFill>
            <w14:solidFill>
              <w14:schemeClr w14:val="tx1"/>
            </w14:solidFill>
          </w14:textFill>
        </w:rPr>
        <w:t>吨，年出酒</w:t>
      </w:r>
      <w:r>
        <w:rPr>
          <w:color w:val="000000" w:themeColor="text1"/>
          <w14:textFill>
            <w14:solidFill>
              <w14:schemeClr w14:val="tx1"/>
            </w14:solidFill>
          </w14:textFill>
        </w:rPr>
        <w:t>100</w:t>
      </w:r>
      <w:r>
        <w:rPr>
          <w:rFonts w:hint="eastAsia"/>
          <w:color w:val="000000" w:themeColor="text1"/>
          <w14:textFill>
            <w14:solidFill>
              <w14:schemeClr w14:val="tx1"/>
            </w14:solidFill>
          </w14:textFill>
        </w:rPr>
        <w:t>吨以上，销售价格</w:t>
      </w:r>
      <w:r>
        <w:rPr>
          <w:color w:val="000000" w:themeColor="text1"/>
          <w14:textFill>
            <w14:solidFill>
              <w14:schemeClr w14:val="tx1"/>
            </w14:solidFill>
          </w14:textFill>
        </w:rPr>
        <w:t>200</w:t>
      </w:r>
      <w:r>
        <w:rPr>
          <w:rFonts w:hint="eastAsia"/>
          <w:color w:val="000000" w:themeColor="text1"/>
          <w14:textFill>
            <w14:solidFill>
              <w14:schemeClr w14:val="tx1"/>
            </w14:solidFill>
          </w14:textFill>
        </w:rPr>
        <w:t>元</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斤。兴安银杏酒在湖南、广东、深圳、湖北等市场打开销路，农民通过银杏产业得到了增收。</w:t>
      </w:r>
    </w:p>
    <w:p>
      <w:pPr>
        <w:spacing w:line="600" w:lineRule="exact"/>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兴安县秋甜玉米鲜苞收获季节在11月中下旬，此期北面的湖南、湖北、</w:t>
      </w:r>
      <w:r>
        <w:rPr>
          <w:rFonts w:hint="eastAsia" w:asciiTheme="minorEastAsia" w:hAnsiTheme="minorEastAsia" w:eastAsiaTheme="minorEastAsia"/>
          <w:color w:val="000000" w:themeColor="text1"/>
          <w:lang w:eastAsia="zh-CN"/>
          <w14:textFill>
            <w14:solidFill>
              <w14:schemeClr w14:val="tx1"/>
            </w14:solidFill>
          </w14:textFill>
        </w:rPr>
        <w:t>江浙</w:t>
      </w:r>
      <w:r>
        <w:rPr>
          <w:rFonts w:hint="eastAsia" w:asciiTheme="minorEastAsia" w:hAnsiTheme="minorEastAsia" w:eastAsiaTheme="minorEastAsia"/>
          <w:color w:val="000000" w:themeColor="text1"/>
          <w14:textFill>
            <w14:solidFill>
              <w14:schemeClr w14:val="tx1"/>
            </w14:solidFill>
          </w14:textFill>
        </w:rPr>
        <w:t>等地收获期已结束，南面的海南、云贵、广西桂南等地区生产收获还没开始， 正处在甜玉米销售空档期，加之本县生产的甜王米在秋季，此时温度低，耐贮运，，且棒大质优，很受上海、武汉等外地客商青睐，北方市场容量大，价格稳定。同时兴安有日盛、全兴两家专门从事甜玉米罐头加工出口的大型企业，可消化相当数量原料；而且本县还有一支健全的销售队伍，销售渠道通畅。此外,甜玉米杆还可加工成青饲料，废物利用，桔杆加工成饲料，每亩可增收300</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500元，而且桔杆是很好的草料饲料原料,</w:t>
      </w:r>
      <w:r>
        <w:rPr>
          <w:rFonts w:asciiTheme="minorEastAsia" w:hAnsiTheme="minorEastAsia" w:eastAsiaTheme="minorEastAsia"/>
          <w:color w:val="000000" w:themeColor="text1"/>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因为桔杆本身所含的糖份就高,</w:t>
      </w:r>
      <w:r>
        <w:rPr>
          <w:rFonts w:asciiTheme="minorEastAsia" w:hAnsiTheme="minorEastAsia" w:eastAsiaTheme="minorEastAsia"/>
          <w:color w:val="000000" w:themeColor="text1"/>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营养物质丰富。现在全县现有甜玉米杆青贮饲料加工厂8家，加工的青贮饲料供应本地及贺州、柳州的养殖场，并远销湖南、福建等地，加工青贮饲料供不应求，甜玉米</w:t>
      </w:r>
      <w:r>
        <w:rPr>
          <w:rFonts w:hint="eastAsia" w:asciiTheme="minorEastAsia" w:hAnsiTheme="minorEastAsia" w:eastAsiaTheme="minorEastAsia"/>
          <w:color w:val="000000" w:themeColor="text1"/>
          <w:lang w:eastAsia="zh-CN"/>
          <w14:textFill>
            <w14:solidFill>
              <w14:schemeClr w14:val="tx1"/>
            </w14:solidFill>
          </w14:textFill>
        </w:rPr>
        <w:t>秸秆</w:t>
      </w:r>
      <w:r>
        <w:rPr>
          <w:rFonts w:hint="eastAsia" w:asciiTheme="minorEastAsia" w:hAnsiTheme="minorEastAsia" w:eastAsiaTheme="minorEastAsia"/>
          <w:color w:val="000000" w:themeColor="text1"/>
          <w14:textFill>
            <w14:solidFill>
              <w14:schemeClr w14:val="tx1"/>
            </w14:solidFill>
          </w14:textFill>
        </w:rPr>
        <w:t>销售有了保障。</w:t>
      </w:r>
    </w:p>
    <w:p>
      <w:pPr>
        <w:ind w:firstLine="56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近年来我国</w:t>
      </w:r>
      <w:r>
        <w:rPr>
          <w:rFonts w:hint="eastAsia"/>
          <w:color w:val="000000" w:themeColor="text1"/>
          <w14:textFill>
            <w14:solidFill>
              <w14:schemeClr w14:val="tx1"/>
            </w14:solidFill>
          </w14:textFill>
        </w:rPr>
        <w:t>柑桔</w:t>
      </w:r>
      <w:r>
        <w:rPr>
          <w:rFonts w:hint="eastAsia" w:asciiTheme="minorEastAsia" w:hAnsiTheme="minorEastAsia" w:eastAsiaTheme="minorEastAsia"/>
          <w:color w:val="000000" w:themeColor="text1"/>
          <w14:textFill>
            <w14:solidFill>
              <w14:schemeClr w14:val="tx1"/>
            </w14:solidFill>
          </w14:textFill>
        </w:rPr>
        <w:t>产业快速持续发展，柑桔面积、产量持续增加，在各方面取得显著成效，</w:t>
      </w:r>
      <w:r>
        <w:rPr>
          <w:rFonts w:hint="eastAsia"/>
          <w:color w:val="000000" w:themeColor="text1"/>
          <w14:textFill>
            <w14:solidFill>
              <w14:schemeClr w14:val="tx1"/>
            </w14:solidFill>
          </w14:textFill>
        </w:rPr>
        <w:t>柑桔</w:t>
      </w:r>
      <w:r>
        <w:rPr>
          <w:rFonts w:hint="eastAsia" w:asciiTheme="minorEastAsia" w:hAnsiTheme="minorEastAsia" w:eastAsiaTheme="minorEastAsia"/>
          <w:color w:val="000000" w:themeColor="text1"/>
          <w14:textFill>
            <w14:solidFill>
              <w14:schemeClr w14:val="tx1"/>
            </w14:solidFill>
          </w14:textFill>
        </w:rPr>
        <w:t>种植区域及品种熟期进一步优化，精准栽培技术得以推行，柑桔质量进一步提高，产后处理进一步加强，经营模式进一步优化，加工业向深度发展，电商销售开始发展。我国柑桔产业发展将逐步趋于优质、丰产、高效，产销基本平衡。兴安</w:t>
      </w:r>
      <w:r>
        <w:rPr>
          <w:rFonts w:asciiTheme="minorEastAsia" w:hAnsiTheme="minorEastAsia" w:eastAsiaTheme="minorEastAsia"/>
          <w:color w:val="000000" w:themeColor="text1"/>
          <w14:textFill>
            <w14:solidFill>
              <w14:schemeClr w14:val="tx1"/>
            </w14:solidFill>
          </w14:textFill>
        </w:rPr>
        <w:t>县</w:t>
      </w:r>
      <w:r>
        <w:rPr>
          <w:rFonts w:hint="eastAsia" w:asciiTheme="minorEastAsia" w:hAnsiTheme="minorEastAsia" w:eastAsiaTheme="minorEastAsia"/>
          <w:color w:val="000000" w:themeColor="text1"/>
          <w14:textFill>
            <w14:solidFill>
              <w14:schemeClr w14:val="tx1"/>
            </w14:solidFill>
          </w14:textFill>
        </w:rPr>
        <w:t>生产</w:t>
      </w:r>
      <w:r>
        <w:rPr>
          <w:rFonts w:asciiTheme="minorEastAsia" w:hAnsiTheme="minorEastAsia" w:eastAsiaTheme="minorEastAsia"/>
          <w:color w:val="000000" w:themeColor="text1"/>
          <w14:textFill>
            <w14:solidFill>
              <w14:schemeClr w14:val="tx1"/>
            </w14:solidFill>
          </w14:textFill>
        </w:rPr>
        <w:t>的柑桔果</w:t>
      </w:r>
      <w:r>
        <w:rPr>
          <w:rFonts w:hint="eastAsia" w:asciiTheme="minorEastAsia" w:hAnsiTheme="minorEastAsia" w:eastAsiaTheme="minorEastAsia"/>
          <w:color w:val="000000" w:themeColor="text1"/>
          <w14:textFill>
            <w14:solidFill>
              <w14:schemeClr w14:val="tx1"/>
            </w14:solidFill>
          </w14:textFill>
        </w:rPr>
        <w:t>实</w:t>
      </w:r>
      <w:r>
        <w:rPr>
          <w:rFonts w:asciiTheme="minorEastAsia" w:hAnsiTheme="minorEastAsia" w:eastAsiaTheme="minorEastAsia"/>
          <w:color w:val="000000" w:themeColor="text1"/>
          <w14:textFill>
            <w14:solidFill>
              <w14:schemeClr w14:val="tx1"/>
            </w14:solidFill>
          </w14:textFill>
        </w:rPr>
        <w:t>色泽鲜艳，</w:t>
      </w:r>
      <w:r>
        <w:rPr>
          <w:rFonts w:hint="eastAsia" w:asciiTheme="minorEastAsia" w:hAnsiTheme="minorEastAsia" w:eastAsiaTheme="minorEastAsia"/>
          <w:color w:val="000000" w:themeColor="text1"/>
          <w14:textFill>
            <w14:solidFill>
              <w14:schemeClr w14:val="tx1"/>
            </w14:solidFill>
          </w14:textFill>
        </w:rPr>
        <w:t>肉质</w:t>
      </w:r>
      <w:r>
        <w:rPr>
          <w:rFonts w:asciiTheme="minorEastAsia" w:hAnsiTheme="minorEastAsia" w:eastAsiaTheme="minorEastAsia"/>
          <w:color w:val="000000" w:themeColor="text1"/>
          <w14:textFill>
            <w14:solidFill>
              <w14:schemeClr w14:val="tx1"/>
            </w14:solidFill>
          </w14:textFill>
        </w:rPr>
        <w:t>脆嫩</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风味浓，品质佳，是</w:t>
      </w:r>
      <w:r>
        <w:rPr>
          <w:rFonts w:hint="eastAsia" w:asciiTheme="minorEastAsia" w:hAnsiTheme="minorEastAsia" w:eastAsiaTheme="minorEastAsia"/>
          <w:color w:val="000000" w:themeColor="text1"/>
          <w14:textFill>
            <w14:solidFill>
              <w14:schemeClr w14:val="tx1"/>
            </w14:solidFill>
          </w14:textFill>
        </w:rPr>
        <w:t>柑桔</w:t>
      </w:r>
      <w:r>
        <w:rPr>
          <w:rFonts w:asciiTheme="minorEastAsia" w:hAnsiTheme="minorEastAsia" w:eastAsiaTheme="minorEastAsia"/>
          <w:color w:val="000000" w:themeColor="text1"/>
          <w14:textFill>
            <w14:solidFill>
              <w14:schemeClr w14:val="tx1"/>
            </w14:solidFill>
          </w14:textFill>
        </w:rPr>
        <w:t>种植最</w:t>
      </w:r>
      <w:r>
        <w:rPr>
          <w:rFonts w:hint="eastAsia" w:asciiTheme="minorEastAsia" w:hAnsiTheme="minorEastAsia" w:eastAsiaTheme="minorEastAsia"/>
          <w:color w:val="000000" w:themeColor="text1"/>
          <w14:textFill>
            <w14:solidFill>
              <w14:schemeClr w14:val="tx1"/>
            </w14:solidFill>
          </w14:textFill>
        </w:rPr>
        <w:t>适宜</w:t>
      </w:r>
      <w:r>
        <w:rPr>
          <w:rFonts w:asciiTheme="minorEastAsia" w:hAnsiTheme="minorEastAsia" w:eastAsiaTheme="minorEastAsia"/>
          <w:color w:val="000000" w:themeColor="text1"/>
          <w14:textFill>
            <w14:solidFill>
              <w14:schemeClr w14:val="tx1"/>
            </w14:solidFill>
          </w14:textFill>
        </w:rPr>
        <w:t>区。</w:t>
      </w:r>
      <w:r>
        <w:rPr>
          <w:rFonts w:hint="eastAsia" w:asciiTheme="minorEastAsia" w:hAnsiTheme="minorEastAsia" w:eastAsiaTheme="minorEastAsia"/>
          <w:color w:val="000000" w:themeColor="text1"/>
          <w14:textFill>
            <w14:solidFill>
              <w14:schemeClr w14:val="tx1"/>
            </w14:solidFill>
          </w14:textFill>
        </w:rPr>
        <w:t>2003年</w:t>
      </w:r>
      <w:r>
        <w:rPr>
          <w:rFonts w:asciiTheme="minorEastAsia" w:hAnsiTheme="minorEastAsia" w:eastAsiaTheme="minorEastAsia"/>
          <w:color w:val="000000" w:themeColor="text1"/>
          <w14:textFill>
            <w14:solidFill>
              <w14:schemeClr w14:val="tx1"/>
            </w14:solidFill>
          </w14:textFill>
        </w:rPr>
        <w:t>国家农业部将桂北列为</w:t>
      </w:r>
      <w:r>
        <w:rPr>
          <w:rFonts w:hint="eastAsia" w:asciiTheme="minorEastAsia" w:hAnsiTheme="minorEastAsia" w:eastAsiaTheme="minorEastAsia"/>
          <w:color w:val="000000" w:themeColor="text1"/>
          <w14:textFill>
            <w14:solidFill>
              <w14:schemeClr w14:val="tx1"/>
            </w14:solidFill>
          </w14:textFill>
        </w:rPr>
        <w:t>全国优势</w:t>
      </w:r>
      <w:r>
        <w:rPr>
          <w:rFonts w:asciiTheme="minorEastAsia" w:hAnsiTheme="minorEastAsia" w:eastAsiaTheme="minorEastAsia"/>
          <w:color w:val="000000" w:themeColor="text1"/>
          <w14:textFill>
            <w14:solidFill>
              <w14:schemeClr w14:val="tx1"/>
            </w14:solidFill>
          </w14:textFill>
        </w:rPr>
        <w:t>柑桔生产</w:t>
      </w:r>
      <w:r>
        <w:rPr>
          <w:rFonts w:hint="eastAsia" w:asciiTheme="minorEastAsia" w:hAnsiTheme="minorEastAsia" w:eastAsiaTheme="minorEastAsia"/>
          <w:color w:val="000000" w:themeColor="text1"/>
          <w14:textFill>
            <w14:solidFill>
              <w14:schemeClr w14:val="tx1"/>
            </w14:solidFill>
          </w14:textFill>
        </w:rPr>
        <w:t>带</w:t>
      </w:r>
      <w:r>
        <w:rPr>
          <w:rFonts w:asciiTheme="minorEastAsia" w:hAnsiTheme="minorEastAsia" w:eastAsiaTheme="minorEastAsia"/>
          <w:color w:val="000000" w:themeColor="text1"/>
          <w14:textFill>
            <w14:solidFill>
              <w14:schemeClr w14:val="tx1"/>
            </w14:solidFill>
          </w14:textFill>
        </w:rPr>
        <w:t>。</w:t>
      </w:r>
    </w:p>
    <w:p>
      <w:pPr>
        <w:ind w:firstLine="56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中国的食用菌资源丰富，食用菌产量高。</w:t>
      </w:r>
      <w:r>
        <w:rPr>
          <w:color w:val="000000" w:themeColor="text1"/>
          <w14:textFill>
            <w14:solidFill>
              <w14:schemeClr w14:val="tx1"/>
            </w14:solidFill>
          </w14:textFill>
        </w:rPr>
        <w:t>2017</w:t>
      </w:r>
      <w:r>
        <w:rPr>
          <w:rFonts w:hint="eastAsia"/>
          <w:color w:val="000000" w:themeColor="text1"/>
          <w14:textFill>
            <w14:solidFill>
              <w14:schemeClr w14:val="tx1"/>
            </w14:solidFill>
          </w14:textFill>
        </w:rPr>
        <w:t>年全国食用菌总产量为</w:t>
      </w:r>
      <w:r>
        <w:rPr>
          <w:color w:val="000000" w:themeColor="text1"/>
          <w14:textFill>
            <w14:solidFill>
              <w14:schemeClr w14:val="tx1"/>
            </w14:solidFill>
          </w14:textFill>
        </w:rPr>
        <w:t>3712</w:t>
      </w:r>
      <w:r>
        <w:rPr>
          <w:rFonts w:hint="eastAsia"/>
          <w:color w:val="000000" w:themeColor="text1"/>
          <w14:textFill>
            <w14:solidFill>
              <w14:schemeClr w14:val="tx1"/>
            </w14:solidFill>
          </w14:textFill>
        </w:rPr>
        <w:t>万吨，比</w:t>
      </w:r>
      <w:r>
        <w:rPr>
          <w:color w:val="000000" w:themeColor="text1"/>
          <w14:textFill>
            <w14:solidFill>
              <w14:schemeClr w14:val="tx1"/>
            </w14:solidFill>
          </w14:textFill>
        </w:rPr>
        <w:t>2016</w:t>
      </w:r>
      <w:r>
        <w:rPr>
          <w:rFonts w:hint="eastAsia"/>
          <w:color w:val="000000" w:themeColor="text1"/>
          <w14:textFill>
            <w14:solidFill>
              <w14:schemeClr w14:val="tx1"/>
            </w14:solidFill>
          </w14:textFill>
        </w:rPr>
        <w:t>年的产量</w:t>
      </w:r>
      <w:r>
        <w:rPr>
          <w:color w:val="000000" w:themeColor="text1"/>
          <w14:textFill>
            <w14:solidFill>
              <w14:schemeClr w14:val="tx1"/>
            </w14:solidFill>
          </w14:textFill>
        </w:rPr>
        <w:t>3596.66</w:t>
      </w:r>
      <w:r>
        <w:rPr>
          <w:rFonts w:hint="eastAsia"/>
          <w:color w:val="000000" w:themeColor="text1"/>
          <w14:textFill>
            <w14:solidFill>
              <w14:schemeClr w14:val="tx1"/>
            </w14:solidFill>
          </w14:textFill>
        </w:rPr>
        <w:t>万吨增长了</w:t>
      </w:r>
      <w:r>
        <w:rPr>
          <w:color w:val="000000" w:themeColor="text1"/>
          <w14:textFill>
            <w14:solidFill>
              <w14:schemeClr w14:val="tx1"/>
            </w14:solidFill>
          </w14:textFill>
        </w:rPr>
        <w:t>3.21%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2017</w:t>
      </w:r>
      <w:r>
        <w:rPr>
          <w:rFonts w:hint="eastAsia"/>
          <w:color w:val="000000" w:themeColor="text1"/>
          <w14:textFill>
            <w14:solidFill>
              <w14:schemeClr w14:val="tx1"/>
            </w14:solidFill>
          </w14:textFill>
        </w:rPr>
        <w:t>年产值为</w:t>
      </w:r>
      <w:r>
        <w:rPr>
          <w:color w:val="000000" w:themeColor="text1"/>
          <w14:textFill>
            <w14:solidFill>
              <w14:schemeClr w14:val="tx1"/>
            </w14:solidFill>
          </w14:textFill>
        </w:rPr>
        <w:t>2721.92</w:t>
      </w:r>
      <w:r>
        <w:rPr>
          <w:rFonts w:hint="eastAsia"/>
          <w:color w:val="000000" w:themeColor="text1"/>
          <w14:textFill>
            <w14:solidFill>
              <w14:schemeClr w14:val="tx1"/>
            </w14:solidFill>
          </w14:textFill>
        </w:rPr>
        <w:t>亿元，比</w:t>
      </w:r>
      <w:r>
        <w:rPr>
          <w:color w:val="000000" w:themeColor="text1"/>
          <w14:textFill>
            <w14:solidFill>
              <w14:schemeClr w14:val="tx1"/>
            </w14:solidFill>
          </w14:textFill>
        </w:rPr>
        <w:t>2016</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2741.78</w:t>
      </w:r>
      <w:r>
        <w:rPr>
          <w:rFonts w:hint="eastAsia"/>
          <w:color w:val="000000" w:themeColor="text1"/>
          <w14:textFill>
            <w14:solidFill>
              <w14:schemeClr w14:val="tx1"/>
            </w14:solidFill>
          </w14:textFill>
        </w:rPr>
        <w:t>亿元下降</w:t>
      </w:r>
      <w:r>
        <w:rPr>
          <w:color w:val="000000" w:themeColor="text1"/>
          <w14:textFill>
            <w14:solidFill>
              <w14:schemeClr w14:val="tx1"/>
            </w14:solidFill>
          </w14:textFill>
        </w:rPr>
        <w:t>0.72%</w:t>
      </w:r>
      <w:r>
        <w:rPr>
          <w:rFonts w:hint="eastAsia"/>
          <w:color w:val="000000" w:themeColor="text1"/>
          <w14:textFill>
            <w14:solidFill>
              <w14:schemeClr w14:val="tx1"/>
            </w14:solidFill>
          </w14:textFill>
        </w:rPr>
        <w:t>。我国食用菌生产主要集中在河南、山东、黑龙江、河北、福建等地，前五大生产省份产量占全国总产量的</w:t>
      </w:r>
      <w:r>
        <w:rPr>
          <w:color w:val="000000" w:themeColor="text1"/>
          <w14:textFill>
            <w14:solidFill>
              <w14:schemeClr w14:val="tx1"/>
            </w14:solidFill>
          </w14:textFill>
        </w:rPr>
        <w:t>50%</w:t>
      </w:r>
      <w:r>
        <w:rPr>
          <w:rFonts w:hint="eastAsia"/>
          <w:color w:val="000000" w:themeColor="text1"/>
          <w14:textFill>
            <w14:solidFill>
              <w14:schemeClr w14:val="tx1"/>
            </w14:solidFill>
          </w14:textFill>
        </w:rPr>
        <w:t>以上。受到饮食和地域的影响，我国食用菌消费以香菇、黑木耳、平菇为主，产量占全国总产量</w:t>
      </w:r>
      <w:r>
        <w:rPr>
          <w:color w:val="000000" w:themeColor="text1"/>
          <w14:textFill>
            <w14:solidFill>
              <w14:schemeClr w14:val="tx1"/>
            </w14:solidFill>
          </w14:textFill>
        </w:rPr>
        <w:t>59%</w:t>
      </w:r>
      <w:r>
        <w:rPr>
          <w:rFonts w:hint="eastAsia"/>
          <w:color w:val="000000" w:themeColor="text1"/>
          <w14:textFill>
            <w14:solidFill>
              <w14:schemeClr w14:val="tx1"/>
            </w14:solidFill>
          </w14:textFill>
        </w:rPr>
        <w:t>。黑木耳在广西种植面积最大，兴安县食用菌主要以黑木耳为主，同时大力发展毛木耳</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云耳、反季节秀珍菇、</w:t>
      </w:r>
      <w:r>
        <w:rPr>
          <w:color w:val="000000" w:themeColor="text1"/>
          <w14:textFill>
            <w14:solidFill>
              <w14:schemeClr w14:val="tx1"/>
            </w14:solidFill>
          </w14:textFill>
        </w:rPr>
        <w:t>姬</w:t>
      </w:r>
      <w:r>
        <w:rPr>
          <w:rFonts w:hint="eastAsia"/>
          <w:color w:val="000000" w:themeColor="text1"/>
          <w14:textFill>
            <w14:solidFill>
              <w14:schemeClr w14:val="tx1"/>
            </w14:solidFill>
          </w14:textFill>
        </w:rPr>
        <w:t>菇、香菇、灵芝等食用菌种植。黑木耳菌棒的成本</w:t>
      </w:r>
      <w:r>
        <w:rPr>
          <w:color w:val="000000" w:themeColor="text1"/>
          <w14:textFill>
            <w14:solidFill>
              <w14:schemeClr w14:val="tx1"/>
            </w14:solidFill>
          </w14:textFill>
        </w:rPr>
        <w:t>1.8</w:t>
      </w:r>
      <w:r>
        <w:rPr>
          <w:rFonts w:hint="eastAsia"/>
          <w:color w:val="000000" w:themeColor="text1"/>
          <w14:textFill>
            <w14:solidFill>
              <w14:schemeClr w14:val="tx1"/>
            </w14:solidFill>
          </w14:textFill>
        </w:rPr>
        <w:t>元</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棒，每棒可以采收干货</w:t>
      </w:r>
      <w:r>
        <w:rPr>
          <w:color w:val="000000" w:themeColor="text1"/>
          <w14:textFill>
            <w14:solidFill>
              <w14:schemeClr w14:val="tx1"/>
            </w14:solidFill>
          </w14:textFill>
        </w:rPr>
        <w:t>1-1.5</w:t>
      </w:r>
      <w:r>
        <w:rPr>
          <w:rFonts w:hint="eastAsia"/>
          <w:color w:val="000000" w:themeColor="text1"/>
          <w14:textFill>
            <w14:solidFill>
              <w14:schemeClr w14:val="tx1"/>
            </w14:solidFill>
          </w14:textFill>
        </w:rPr>
        <w:t>两，每棒可以卖到</w:t>
      </w:r>
      <w:r>
        <w:rPr>
          <w:color w:val="000000" w:themeColor="text1"/>
          <w14:textFill>
            <w14:solidFill>
              <w14:schemeClr w14:val="tx1"/>
            </w14:solidFill>
          </w14:textFill>
        </w:rPr>
        <w:t>2.8</w:t>
      </w:r>
      <w:r>
        <w:rPr>
          <w:rFonts w:hint="eastAsia"/>
          <w:color w:val="000000" w:themeColor="text1"/>
          <w14:textFill>
            <w14:solidFill>
              <w14:schemeClr w14:val="tx1"/>
            </w14:solidFill>
          </w14:textFill>
        </w:rPr>
        <w:t>元，一亩收入</w:t>
      </w:r>
      <w:r>
        <w:rPr>
          <w:color w:val="000000" w:themeColor="text1"/>
          <w14:textFill>
            <w14:solidFill>
              <w14:schemeClr w14:val="tx1"/>
            </w14:solidFill>
          </w14:textFill>
        </w:rPr>
        <w:t>3.5</w:t>
      </w:r>
      <w:r>
        <w:rPr>
          <w:rFonts w:hint="eastAsia"/>
          <w:color w:val="000000" w:themeColor="text1"/>
          <w14:textFill>
            <w14:solidFill>
              <w14:schemeClr w14:val="tx1"/>
            </w14:solidFill>
          </w14:textFill>
        </w:rPr>
        <w:t>万多元，除去成本，每亩有</w:t>
      </w:r>
      <w:r>
        <w:rPr>
          <w:color w:val="000000" w:themeColor="text1"/>
          <w14:textFill>
            <w14:solidFill>
              <w14:schemeClr w14:val="tx1"/>
            </w14:solidFill>
          </w14:textFill>
        </w:rPr>
        <w:t>1.5-1.6</w:t>
      </w:r>
      <w:r>
        <w:rPr>
          <w:rFonts w:hint="eastAsia"/>
          <w:color w:val="000000" w:themeColor="text1"/>
          <w14:textFill>
            <w14:solidFill>
              <w14:schemeClr w14:val="tx1"/>
            </w14:solidFill>
          </w14:textFill>
        </w:rPr>
        <w:t>万的利润。食用菌市场需求旺盛，价位不断攀升，整个食用菌市场处于上升境况，食用菌市场前景广阔。</w:t>
      </w:r>
    </w:p>
    <w:p>
      <w:pPr>
        <w:ind w:firstLine="560"/>
        <w:rPr>
          <w:rFonts w:hint="eastAsia"/>
          <w:color w:val="000000" w:themeColor="text1"/>
          <w14:textFill>
            <w14:solidFill>
              <w14:schemeClr w14:val="tx1"/>
            </w14:solidFill>
          </w14:textFill>
        </w:rPr>
      </w:pPr>
    </w:p>
    <w:p>
      <w:pPr>
        <w:pStyle w:val="4"/>
        <w:spacing w:before="156" w:after="156"/>
        <w:ind w:firstLine="452"/>
      </w:pPr>
      <w:r>
        <w:rPr>
          <w:rFonts w:hint="eastAsia"/>
        </w:rPr>
        <w:t>（一）市场定位</w:t>
      </w:r>
    </w:p>
    <w:p>
      <w:pPr>
        <w:ind w:left="602" w:firstLine="0" w:firstLineChars="0"/>
        <w:rPr>
          <w:b/>
        </w:rPr>
      </w:pPr>
      <w:r>
        <w:rPr>
          <w:b/>
        </w:rPr>
        <w:t>1.</w:t>
      </w:r>
      <w:r>
        <w:rPr>
          <w:rFonts w:hint="eastAsia"/>
          <w:b/>
        </w:rPr>
        <w:t>国内市场定位</w:t>
      </w:r>
    </w:p>
    <w:p>
      <w:pPr>
        <w:ind w:firstLine="560"/>
      </w:pPr>
      <w:r>
        <w:rPr>
          <w:rFonts w:hint="eastAsia"/>
        </w:rPr>
        <w:t>在优先满足本地市场的基础上，向周边省份以及需求量高的省份不断拓展扩宽辐射市场，主要包括广东、湖南、湖北、海南等周边邻近省份以及福建、上海等需求量高的省份。这些省份是国内的消费大省，交通便利，经济发展较早，城市现代化程度高，人们经济水平和生活水平都较之其他大部分城市高，对食品质量需求也日益提高，因此到从其他地方运输本地没有的产品对其是一个极佳的选择，这些地区是兴安县葡萄、银杏、甜玉米、柑桔、食用菌等农产品销售主要的销售市场。</w:t>
      </w:r>
    </w:p>
    <w:p>
      <w:pPr>
        <w:ind w:firstLine="560"/>
      </w:pPr>
      <w:r>
        <w:rPr>
          <w:rFonts w:hint="eastAsia"/>
        </w:rPr>
        <w:t>核心销售市场：广西本地，以及广东、湖北、湖南、海南、上海、福建等省市。</w:t>
      </w:r>
    </w:p>
    <w:p>
      <w:pPr>
        <w:ind w:left="602" w:firstLine="0" w:firstLineChars="0"/>
      </w:pPr>
      <w:r>
        <w:rPr>
          <w:rFonts w:hint="eastAsia"/>
        </w:rPr>
        <w:t>拓展销售市场：北京、吉林、长春等北方城市。</w:t>
      </w:r>
    </w:p>
    <w:p>
      <w:pPr>
        <w:ind w:left="602" w:firstLine="0" w:firstLineChars="0"/>
      </w:pPr>
      <w:r>
        <w:rPr>
          <w:rFonts w:hint="eastAsia"/>
        </w:rPr>
        <w:t>机会销售市场：贵州、四川等除核心市场和拓展市场外的其他省市。</w:t>
      </w:r>
    </w:p>
    <w:p>
      <w:pPr>
        <w:ind w:firstLine="0" w:firstLineChars="0"/>
        <w:rPr>
          <w:b/>
        </w:rPr>
      </w:pPr>
    </w:p>
    <w:p>
      <w:pPr>
        <w:ind w:left="602" w:firstLine="0" w:firstLineChars="0"/>
        <w:rPr>
          <w:b/>
        </w:rPr>
      </w:pPr>
      <w:r>
        <w:rPr>
          <w:b/>
        </w:rPr>
        <w:t>2.</w:t>
      </w:r>
      <w:r>
        <w:rPr>
          <w:rFonts w:hint="eastAsia"/>
          <w:b/>
        </w:rPr>
        <w:t>国际市场定位</w:t>
      </w:r>
    </w:p>
    <w:p>
      <w:pPr>
        <w:ind w:left="42" w:leftChars="15" w:firstLine="560"/>
      </w:pPr>
      <w:r>
        <w:rPr>
          <w:rFonts w:hint="eastAsia"/>
        </w:rPr>
        <w:t>国际市场主要包括香港、澳门、台湾和越南等东盟国家。港澳台地区经济发达，人们生活水平高，对鲜蔬作物的需求大，兴安产的葡萄、银杏、甜玉米、柑桔、食用菌生态、质优、营养价值高，加上一定的地缘和血缘联系，使得港澳台成为兴安县出口核心市场之一。近年来随着中国——东盟博览会的召开、东盟旅游圈的建立等机遇，使我国与东盟国家交流不断深入，兴安农产品可以凭借品牌优势出口东盟国家。</w:t>
      </w:r>
    </w:p>
    <w:p>
      <w:pPr>
        <w:ind w:left="42" w:leftChars="15" w:firstLine="560"/>
      </w:pPr>
      <w:r>
        <w:rPr>
          <w:rFonts w:hint="eastAsia"/>
        </w:rPr>
        <w:t>核心销售市场：香港、澳门、台湾和越南、泰国等东盟国家。</w:t>
      </w:r>
    </w:p>
    <w:p>
      <w:pPr>
        <w:ind w:left="42" w:leftChars="15" w:firstLine="560"/>
      </w:pPr>
      <w:r>
        <w:rPr>
          <w:rFonts w:hint="eastAsia"/>
        </w:rPr>
        <w:t>拓展销售市场：日本、韩国、美国、俄罗斯、马来西亚和东南亚其他国家。</w:t>
      </w:r>
    </w:p>
    <w:p>
      <w:pPr>
        <w:ind w:left="42" w:leftChars="15" w:firstLine="560"/>
      </w:pPr>
      <w:r>
        <w:rPr>
          <w:rFonts w:hint="eastAsia"/>
        </w:rPr>
        <w:t>机会销售市场：澳大利亚、加拿大和欧洲各国市场。</w:t>
      </w:r>
    </w:p>
    <w:p>
      <w:pPr>
        <w:ind w:left="42" w:leftChars="15" w:firstLine="560"/>
      </w:pPr>
    </w:p>
    <w:p>
      <w:pPr>
        <w:pStyle w:val="3"/>
        <w:ind w:firstLine="643"/>
        <w:rPr>
          <w:rFonts w:ascii="宋体" w:hAnsi="宋体" w:cs="宋体"/>
          <w:color w:val="0D0D0D"/>
        </w:rPr>
      </w:pPr>
      <w:r>
        <w:fldChar w:fldCharType="begin"/>
      </w:r>
      <w:r>
        <w:instrText xml:space="preserve"> HYPERLINK \l "_Toc529132026" </w:instrText>
      </w:r>
      <w:r>
        <w:fldChar w:fldCharType="separate"/>
      </w:r>
      <w:bookmarkStart w:id="53" w:name="_Toc21594841"/>
      <w:bookmarkStart w:id="54" w:name="_Toc18417396"/>
      <w:r>
        <w:rPr>
          <w:rFonts w:hint="eastAsia" w:ascii="宋体" w:hAnsi="宋体" w:cs="宋体"/>
          <w:color w:val="0D0D0D"/>
        </w:rPr>
        <w:t>六、主导产业发展SWOT分析</w:t>
      </w:r>
      <w:bookmarkEnd w:id="53"/>
      <w:bookmarkEnd w:id="54"/>
      <w:r>
        <w:rPr>
          <w:rFonts w:hint="eastAsia" w:ascii="宋体" w:hAnsi="宋体" w:cs="宋体"/>
          <w:color w:val="0D0D0D"/>
        </w:rPr>
        <w:fldChar w:fldCharType="end"/>
      </w:r>
    </w:p>
    <w:p>
      <w:pPr>
        <w:pStyle w:val="4"/>
        <w:spacing w:before="156" w:after="156"/>
        <w:ind w:firstLine="452"/>
      </w:pPr>
      <w:r>
        <w:rPr>
          <w:rFonts w:hint="eastAsia"/>
        </w:rPr>
        <w:t>（一）优势分析（Strengths）</w:t>
      </w:r>
    </w:p>
    <w:p>
      <w:pPr>
        <w:ind w:firstLine="562"/>
        <w:rPr>
          <w:b/>
        </w:rPr>
      </w:pPr>
      <w:r>
        <w:rPr>
          <w:rFonts w:hint="eastAsia"/>
          <w:b/>
        </w:rPr>
        <w:t>1.兴安县气候、交通优势</w:t>
      </w:r>
    </w:p>
    <w:p>
      <w:pPr>
        <w:ind w:firstLine="422" w:firstLineChars="150"/>
        <w:rPr>
          <w:b/>
        </w:rPr>
      </w:pPr>
      <w:r>
        <w:rPr>
          <w:rFonts w:hint="eastAsia"/>
          <w:b/>
        </w:rPr>
        <w:t>（1）生态环境优越</w:t>
      </w:r>
    </w:p>
    <w:p>
      <w:pPr>
        <w:ind w:firstLine="560"/>
        <w:rPr>
          <w:rFonts w:ascii="宋体" w:hAnsi="宋体" w:cs="宋体"/>
          <w:szCs w:val="28"/>
        </w:rPr>
      </w:pPr>
      <w:r>
        <w:rPr>
          <w:rFonts w:hint="eastAsia"/>
        </w:rPr>
        <w:t>兴安县地处桂东北，</w:t>
      </w:r>
      <w:r>
        <w:t>处</w:t>
      </w:r>
      <w:r>
        <w:rPr>
          <w:rFonts w:ascii="宋体" w:hAnsi="宋体"/>
        </w:rPr>
        <w:t>“</w:t>
      </w:r>
      <w:r>
        <w:t>湘桂走廊</w:t>
      </w:r>
      <w:r>
        <w:rPr>
          <w:rFonts w:ascii="宋体" w:hAnsi="宋体"/>
        </w:rPr>
        <w:t>”</w:t>
      </w:r>
      <w:r>
        <w:t>要冲，地处东经110°14′～110°56′，北纬25°17′～25°55′之间</w:t>
      </w:r>
      <w:r>
        <w:rPr>
          <w:rFonts w:hint="eastAsia"/>
        </w:rPr>
        <w:t>；</w:t>
      </w:r>
      <w:r>
        <w:t>属亚热带湿润季风气候区，四季分明，年均气温17.5</w:t>
      </w:r>
      <w:r>
        <w:rPr>
          <w:rFonts w:hint="eastAsia" w:ascii="宋体" w:hAnsi="宋体" w:cs="宋体"/>
        </w:rPr>
        <w:t>℃</w:t>
      </w:r>
      <w:r>
        <w:t>。有着2200多年的历史，是中原汉文化和岭南百越文化的交汇之地</w:t>
      </w:r>
      <w:r>
        <w:rPr>
          <w:rFonts w:hint="eastAsia"/>
        </w:rPr>
        <w:t>。</w:t>
      </w:r>
      <w:r>
        <w:rPr>
          <w:rFonts w:hint="eastAsia" w:ascii="宋体" w:hAnsi="宋体" w:cs="宋体"/>
          <w:szCs w:val="28"/>
        </w:rPr>
        <w:t>属典型的</w:t>
      </w:r>
      <w:r>
        <w:rPr>
          <w:rFonts w:ascii="宋体" w:hAnsi="宋体" w:cs="宋体"/>
          <w:szCs w:val="28"/>
        </w:rPr>
        <w:t>“</w:t>
      </w:r>
      <w:r>
        <w:rPr>
          <w:rFonts w:hint="eastAsia" w:ascii="宋体" w:hAnsi="宋体" w:cs="宋体"/>
          <w:szCs w:val="28"/>
        </w:rPr>
        <w:t>八山一水一分田</w:t>
      </w:r>
      <w:r>
        <w:rPr>
          <w:rFonts w:ascii="宋体" w:hAnsi="宋体" w:cs="宋体"/>
          <w:szCs w:val="28"/>
        </w:rPr>
        <w:t>”</w:t>
      </w:r>
      <w:r>
        <w:rPr>
          <w:rFonts w:hint="eastAsia" w:ascii="宋体" w:hAnsi="宋体" w:cs="宋体"/>
          <w:szCs w:val="28"/>
        </w:rPr>
        <w:t>的丘陵县，工业污染较少，生态环境优越，形成较多的四面环山</w:t>
      </w:r>
      <w:r>
        <w:rPr>
          <w:rFonts w:ascii="宋体" w:hAnsi="宋体" w:cs="宋体"/>
          <w:szCs w:val="28"/>
        </w:rPr>
        <w:t>“</w:t>
      </w:r>
      <w:r>
        <w:rPr>
          <w:rFonts w:hint="eastAsia" w:ascii="宋体" w:hAnsi="宋体" w:cs="宋体"/>
          <w:szCs w:val="28"/>
        </w:rPr>
        <w:t>天然小盆地</w:t>
      </w:r>
      <w:r>
        <w:rPr>
          <w:rFonts w:ascii="宋体" w:hAnsi="宋体" w:cs="宋体"/>
          <w:szCs w:val="28"/>
        </w:rPr>
        <w:t>”</w:t>
      </w:r>
      <w:r>
        <w:rPr>
          <w:rFonts w:hint="eastAsia" w:ascii="宋体" w:hAnsi="宋体" w:cs="宋体"/>
          <w:szCs w:val="28"/>
        </w:rPr>
        <w:t>。林业用地面积</w:t>
      </w:r>
      <w:r>
        <w:rPr>
          <w:rFonts w:ascii="宋体" w:hAnsi="宋体" w:cs="宋体"/>
          <w:szCs w:val="28"/>
        </w:rPr>
        <w:t>265</w:t>
      </w:r>
      <w:r>
        <w:rPr>
          <w:rFonts w:hint="eastAsia" w:ascii="宋体" w:hAnsi="宋体" w:cs="宋体"/>
          <w:szCs w:val="28"/>
        </w:rPr>
        <w:t>万亩，森林面积</w:t>
      </w:r>
      <w:r>
        <w:rPr>
          <w:rFonts w:ascii="宋体" w:hAnsi="宋体" w:cs="宋体"/>
          <w:szCs w:val="28"/>
        </w:rPr>
        <w:t>234</w:t>
      </w:r>
      <w:r>
        <w:rPr>
          <w:rFonts w:hint="eastAsia" w:ascii="宋体" w:hAnsi="宋体" w:cs="宋体"/>
          <w:szCs w:val="28"/>
        </w:rPr>
        <w:t>万亩，森林覆盖率为</w:t>
      </w:r>
      <w:r>
        <w:rPr>
          <w:rFonts w:ascii="宋体" w:hAnsi="宋体" w:cs="宋体"/>
          <w:szCs w:val="28"/>
        </w:rPr>
        <w:t>76.34%</w:t>
      </w:r>
      <w:r>
        <w:rPr>
          <w:rFonts w:hint="eastAsia" w:ascii="宋体" w:hAnsi="宋体" w:cs="宋体"/>
          <w:szCs w:val="28"/>
        </w:rPr>
        <w:t>，林地面积中生态公益地</w:t>
      </w:r>
      <w:r>
        <w:rPr>
          <w:rFonts w:ascii="宋体" w:hAnsi="宋体" w:cs="宋体"/>
          <w:szCs w:val="28"/>
        </w:rPr>
        <w:t>118.8</w:t>
      </w:r>
      <w:r>
        <w:rPr>
          <w:rFonts w:hint="eastAsia" w:ascii="宋体" w:hAnsi="宋体" w:cs="宋体"/>
          <w:szCs w:val="28"/>
        </w:rPr>
        <w:t>万亩，占</w:t>
      </w:r>
      <w:r>
        <w:rPr>
          <w:rFonts w:ascii="宋体" w:hAnsi="宋体" w:cs="宋体"/>
          <w:szCs w:val="28"/>
        </w:rPr>
        <w:t>44.8%</w:t>
      </w:r>
      <w:r>
        <w:rPr>
          <w:rFonts w:hint="eastAsia" w:ascii="宋体" w:hAnsi="宋体" w:cs="宋体"/>
          <w:szCs w:val="28"/>
        </w:rPr>
        <w:t>，兴安县生态环境优越。</w:t>
      </w:r>
    </w:p>
    <w:p>
      <w:pPr>
        <w:ind w:firstLine="422" w:firstLineChars="150"/>
        <w:rPr>
          <w:b/>
        </w:rPr>
      </w:pPr>
      <w:r>
        <w:rPr>
          <w:rFonts w:hint="eastAsia"/>
          <w:b/>
        </w:rPr>
        <w:t>（2）自然资源禀赋</w:t>
      </w:r>
    </w:p>
    <w:p>
      <w:pPr>
        <w:ind w:firstLine="560"/>
        <w:rPr>
          <w:rFonts w:ascii="宋体" w:hAnsi="宋体" w:cs="宋体"/>
          <w:b/>
          <w:color w:val="000000"/>
          <w:szCs w:val="28"/>
        </w:rPr>
      </w:pPr>
      <w:r>
        <w:t>兴安县地处北回归线附近，气温适宜，雨量充沛，日照时间长，积温多，霜期短。境内东南和西北地势高，东北和西南地势低，中部的湘桂走廊以县城附近的分水岭为中心，地势分别向东北随湘江下落和向西南随漓江降低，形成县内错综复杂的地区性气候特征，水热条件的地域性差异十分明显。</w:t>
      </w:r>
      <w:r>
        <w:rPr>
          <w:rFonts w:hint="eastAsia"/>
        </w:rPr>
        <w:t>适合农业耕作和水果种植，形成了具有当地特色的生产模式。兴安县水资源丰富，是湘漓二水的发源地，多年平均水资源量</w:t>
      </w:r>
      <w:r>
        <w:t>35.96</w:t>
      </w:r>
      <w:r>
        <w:rPr>
          <w:rFonts w:hint="eastAsia"/>
        </w:rPr>
        <w:t>亿立方米，人均拥有水量</w:t>
      </w:r>
      <w:r>
        <w:t>8794</w:t>
      </w:r>
      <w:r>
        <w:rPr>
          <w:rFonts w:hint="eastAsia"/>
        </w:rPr>
        <w:t>立方米。其中，地表径流量</w:t>
      </w:r>
      <w:r>
        <w:t>31.75</w:t>
      </w:r>
      <w:r>
        <w:rPr>
          <w:rFonts w:hint="eastAsia"/>
        </w:rPr>
        <w:t>亿立方米；地下水储量</w:t>
      </w:r>
      <w:r>
        <w:t>4021</w:t>
      </w:r>
      <w:r>
        <w:rPr>
          <w:rFonts w:hint="eastAsia"/>
        </w:rPr>
        <w:t>立方米。耕地面积较大，达到</w:t>
      </w:r>
      <w:r>
        <w:t>39.3</w:t>
      </w:r>
      <w:r>
        <w:rPr>
          <w:rFonts w:hint="eastAsia"/>
        </w:rPr>
        <w:t>万亩，水田面积</w:t>
      </w:r>
      <w:r>
        <w:t>25.2</w:t>
      </w:r>
      <w:r>
        <w:rPr>
          <w:rFonts w:hint="eastAsia"/>
        </w:rPr>
        <w:t>万亩，旱地</w:t>
      </w:r>
      <w:r>
        <w:t>7.1</w:t>
      </w:r>
      <w:r>
        <w:rPr>
          <w:rFonts w:hint="eastAsia"/>
        </w:rPr>
        <w:t>万亩。</w:t>
      </w:r>
    </w:p>
    <w:p>
      <w:pPr>
        <w:ind w:firstLine="422" w:firstLineChars="150"/>
        <w:rPr>
          <w:b/>
        </w:rPr>
      </w:pPr>
      <w:r>
        <w:rPr>
          <w:rFonts w:hint="eastAsia"/>
          <w:b/>
        </w:rPr>
        <w:t>（3）土地资源丰富</w:t>
      </w:r>
    </w:p>
    <w:p>
      <w:pPr>
        <w:spacing w:line="600" w:lineRule="exact"/>
        <w:ind w:firstLine="560"/>
      </w:pPr>
      <w:r>
        <w:t>据1980年调查全县共有土地面积3522069亩，其中耕地369446亩，占10.49%，轮歇地16017亩，占0.45%，林地2053746亩，占58.31%，宜林荒山荒地450611亩，占12.79%，</w:t>
      </w:r>
      <w:r>
        <w:rPr>
          <w:rFonts w:hint="eastAsia" w:ascii="宋体" w:hAnsi="宋体" w:cs="宋体"/>
          <w:color w:val="000000"/>
        </w:rPr>
        <w:t>兴安县土壤类型有沙泥、土沙、土泥、土红、泥土、石子土等</w:t>
      </w:r>
      <w:r>
        <w:rPr>
          <w:rFonts w:ascii="宋体" w:hAnsi="宋体" w:cs="宋体"/>
          <w:color w:val="000000"/>
        </w:rPr>
        <w:t>5个土</w:t>
      </w:r>
      <w:r>
        <w:rPr>
          <w:rFonts w:hint="eastAsia" w:ascii="宋体" w:hAnsi="宋体" w:cs="宋体"/>
          <w:color w:val="000000"/>
        </w:rPr>
        <w:t>壤</w:t>
      </w:r>
      <w:r>
        <w:rPr>
          <w:rFonts w:ascii="宋体" w:hAnsi="宋体" w:cs="宋体"/>
          <w:color w:val="000000"/>
        </w:rPr>
        <w:t>，29个土属，69个土种；荒山林地土壤分7个土类，30个土属，90个土种，按照兴安县通俗名称归纳，简化为3类23种土壤，其中水田11种，旱地5种，荒山林地7种。</w:t>
      </w:r>
      <w:r>
        <w:t>全县耕地资源质量属中上等</w:t>
      </w:r>
      <w:r>
        <w:rPr>
          <w:rFonts w:hint="eastAsia"/>
        </w:rPr>
        <w:t>，</w:t>
      </w:r>
      <w:r>
        <w:t>地势平坦，水利条件好，</w:t>
      </w:r>
      <w:r>
        <w:rPr>
          <w:rFonts w:hint="eastAsia" w:ascii="宋体" w:hAnsi="宋体" w:cs="宋体"/>
          <w:color w:val="000000"/>
        </w:rPr>
        <w:t>土质肥沃、</w:t>
      </w:r>
      <w:r>
        <w:t>土层深厚，耕作历史悠久</w:t>
      </w:r>
      <w:r>
        <w:rPr>
          <w:rFonts w:hint="eastAsia"/>
        </w:rPr>
        <w:t>，适宜种植农产品。</w:t>
      </w:r>
    </w:p>
    <w:p>
      <w:pPr>
        <w:ind w:firstLine="422" w:firstLineChars="150"/>
        <w:rPr>
          <w:b/>
        </w:rPr>
      </w:pPr>
      <w:r>
        <w:rPr>
          <w:rFonts w:hint="eastAsia"/>
          <w:b/>
        </w:rPr>
        <w:t>（4）交通区位优势明显</w:t>
      </w:r>
    </w:p>
    <w:p>
      <w:pPr>
        <w:spacing w:line="600" w:lineRule="exact"/>
        <w:ind w:firstLine="560"/>
        <w:rPr>
          <w:rFonts w:ascii="宋体" w:hAnsi="宋体" w:cs="宋体"/>
          <w:kern w:val="0"/>
          <w:szCs w:val="28"/>
        </w:rPr>
      </w:pPr>
      <w:r>
        <w:rPr>
          <w:rFonts w:hint="eastAsia" w:ascii="宋体" w:hAnsi="宋体" w:cs="宋体"/>
          <w:kern w:val="0"/>
          <w:szCs w:val="28"/>
        </w:rPr>
        <w:t>兴安镇地处</w:t>
      </w:r>
      <w:r>
        <w:rPr>
          <w:rFonts w:ascii="宋体" w:hAnsi="宋体" w:cs="宋体"/>
          <w:kern w:val="0"/>
          <w:szCs w:val="28"/>
        </w:rPr>
        <w:t>“</w:t>
      </w:r>
      <w:r>
        <w:rPr>
          <w:rFonts w:hint="eastAsia" w:ascii="宋体" w:hAnsi="宋体" w:cs="宋体"/>
          <w:kern w:val="0"/>
          <w:szCs w:val="28"/>
        </w:rPr>
        <w:t>湘桂走廊</w:t>
      </w:r>
      <w:r>
        <w:rPr>
          <w:rFonts w:ascii="宋体" w:hAnsi="宋体" w:cs="宋体"/>
          <w:kern w:val="0"/>
          <w:szCs w:val="28"/>
        </w:rPr>
        <w:t>”</w:t>
      </w:r>
      <w:r>
        <w:rPr>
          <w:rFonts w:hint="eastAsia" w:ascii="宋体" w:hAnsi="宋体" w:cs="宋体"/>
          <w:kern w:val="0"/>
          <w:szCs w:val="28"/>
        </w:rPr>
        <w:t>要冲，兴安县城南距</w:t>
      </w:r>
      <w:r>
        <w:rPr>
          <w:rFonts w:ascii="宋体" w:hAnsi="宋体" w:cs="宋体"/>
          <w:kern w:val="0"/>
          <w:szCs w:val="28"/>
        </w:rPr>
        <w:t>“</w:t>
      </w:r>
      <w:r>
        <w:rPr>
          <w:rFonts w:hint="eastAsia" w:ascii="宋体" w:hAnsi="宋体" w:cs="宋体"/>
          <w:kern w:val="0"/>
          <w:szCs w:val="28"/>
        </w:rPr>
        <w:t>山水甲天下</w:t>
      </w:r>
      <w:r>
        <w:rPr>
          <w:rFonts w:ascii="宋体" w:hAnsi="宋体" w:cs="宋体"/>
          <w:kern w:val="0"/>
          <w:szCs w:val="28"/>
        </w:rPr>
        <w:t>”</w:t>
      </w:r>
      <w:r>
        <w:rPr>
          <w:rFonts w:hint="eastAsia" w:ascii="宋体" w:hAnsi="宋体" w:cs="宋体"/>
          <w:kern w:val="0"/>
          <w:szCs w:val="28"/>
        </w:rPr>
        <w:t>的桂林市区，仅一小时车程；桂林两江国际机场和高铁桂林北站在</w:t>
      </w:r>
      <w:r>
        <w:rPr>
          <w:rFonts w:ascii="宋体" w:hAnsi="宋体" w:cs="宋体"/>
          <w:kern w:val="0"/>
          <w:szCs w:val="28"/>
        </w:rPr>
        <w:t>“</w:t>
      </w:r>
      <w:r>
        <w:rPr>
          <w:rFonts w:hint="eastAsia" w:ascii="宋体" w:hAnsi="宋体" w:cs="宋体"/>
          <w:kern w:val="0"/>
          <w:szCs w:val="28"/>
        </w:rPr>
        <w:t>一小时经济圈</w:t>
      </w:r>
      <w:r>
        <w:rPr>
          <w:rFonts w:ascii="宋体" w:hAnsi="宋体" w:cs="宋体"/>
          <w:kern w:val="0"/>
          <w:szCs w:val="28"/>
        </w:rPr>
        <w:t>”</w:t>
      </w:r>
      <w:r>
        <w:rPr>
          <w:rFonts w:hint="eastAsia" w:ascii="宋体" w:hAnsi="宋体" w:cs="宋体"/>
          <w:kern w:val="0"/>
          <w:szCs w:val="28"/>
        </w:rPr>
        <w:t>内。境内形成了完善的航空、铁路、公路立体交通网络，为农业发展奠定了良好基础。</w:t>
      </w:r>
    </w:p>
    <w:p>
      <w:pPr>
        <w:spacing w:line="600" w:lineRule="exact"/>
        <w:ind w:firstLine="560"/>
        <w:rPr>
          <w:rFonts w:ascii="宋体" w:hAnsi="宋体" w:cs="宋体"/>
          <w:kern w:val="0"/>
          <w:szCs w:val="28"/>
        </w:rPr>
      </w:pPr>
    </w:p>
    <w:p>
      <w:pPr>
        <w:spacing w:line="600" w:lineRule="exact"/>
        <w:ind w:left="560" w:firstLine="0" w:firstLineChars="0"/>
        <w:rPr>
          <w:rFonts w:ascii="仿宋" w:hAnsi="仿宋"/>
          <w:b/>
          <w:szCs w:val="28"/>
        </w:rPr>
      </w:pPr>
      <w:r>
        <w:rPr>
          <w:rFonts w:ascii="仿宋" w:hAnsi="仿宋"/>
          <w:b/>
          <w:szCs w:val="28"/>
        </w:rPr>
        <w:t>2.</w:t>
      </w:r>
      <w:r>
        <w:rPr>
          <w:rFonts w:hint="eastAsia" w:ascii="仿宋" w:hAnsi="仿宋"/>
          <w:b/>
          <w:szCs w:val="28"/>
        </w:rPr>
        <w:t>产业</w:t>
      </w:r>
      <w:r>
        <w:rPr>
          <w:rFonts w:ascii="仿宋" w:hAnsi="仿宋"/>
          <w:b/>
          <w:szCs w:val="28"/>
        </w:rPr>
        <w:t>基础</w:t>
      </w:r>
      <w:r>
        <w:rPr>
          <w:rFonts w:hint="eastAsia" w:ascii="仿宋" w:hAnsi="仿宋"/>
          <w:b/>
          <w:szCs w:val="28"/>
        </w:rPr>
        <w:t>较好</w:t>
      </w:r>
    </w:p>
    <w:p>
      <w:pPr>
        <w:spacing w:line="600" w:lineRule="exact"/>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截止到2018年12月31日，全县</w:t>
      </w:r>
      <w:r>
        <w:rPr>
          <w:color w:val="000000" w:themeColor="text1"/>
          <w14:textFill>
            <w14:solidFill>
              <w14:schemeClr w14:val="tx1"/>
            </w14:solidFill>
          </w14:textFill>
        </w:rPr>
        <w:t>葡萄</w:t>
      </w:r>
      <w:r>
        <w:rPr>
          <w:rFonts w:hint="eastAsia"/>
          <w:color w:val="000000" w:themeColor="text1"/>
          <w14:textFill>
            <w14:solidFill>
              <w14:schemeClr w14:val="tx1"/>
            </w14:solidFill>
          </w14:textFill>
        </w:rPr>
        <w:t>种植总面积14.6万亩，总产量</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3万吨；银杏种植面积1</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万</w:t>
      </w:r>
      <w:r>
        <w:rPr>
          <w:color w:val="000000" w:themeColor="text1"/>
          <w14:textFill>
            <w14:solidFill>
              <w14:schemeClr w14:val="tx1"/>
            </w14:solidFill>
          </w14:textFill>
        </w:rPr>
        <w:t>亩</w:t>
      </w:r>
      <w:r>
        <w:rPr>
          <w:rFonts w:hint="eastAsia"/>
          <w:color w:val="000000" w:themeColor="text1"/>
          <w14:textFill>
            <w14:solidFill>
              <w14:schemeClr w14:val="tx1"/>
            </w14:solidFill>
          </w14:textFill>
        </w:rPr>
        <w:t>；甜玉米种植面积11万</w:t>
      </w:r>
      <w:r>
        <w:rPr>
          <w:color w:val="000000" w:themeColor="text1"/>
          <w14:textFill>
            <w14:solidFill>
              <w14:schemeClr w14:val="tx1"/>
            </w14:solidFill>
          </w14:textFill>
        </w:rPr>
        <w:t>亩</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总产</w:t>
      </w:r>
      <w:r>
        <w:rPr>
          <w:rFonts w:hint="eastAsia"/>
          <w:color w:val="000000" w:themeColor="text1"/>
          <w14:textFill>
            <w14:solidFill>
              <w14:schemeClr w14:val="tx1"/>
            </w14:solidFill>
          </w14:textFill>
        </w:rPr>
        <w:t>量</w:t>
      </w:r>
      <w:r>
        <w:rPr>
          <w:color w:val="000000" w:themeColor="text1"/>
          <w14:textFill>
            <w14:solidFill>
              <w14:schemeClr w14:val="tx1"/>
            </w14:solidFill>
          </w14:textFill>
        </w:rPr>
        <w:t>10.5</w:t>
      </w:r>
      <w:r>
        <w:rPr>
          <w:rFonts w:hint="eastAsia"/>
          <w:color w:val="000000" w:themeColor="text1"/>
          <w14:textFill>
            <w14:solidFill>
              <w14:schemeClr w14:val="tx1"/>
            </w14:solidFill>
          </w14:textFill>
        </w:rPr>
        <w:t>万吨；柑桔种植面积17万亩，总产量21万吨；食用菌</w:t>
      </w:r>
      <w:r>
        <w:rPr>
          <w:color w:val="000000" w:themeColor="text1"/>
          <w14:textFill>
            <w14:solidFill>
              <w14:schemeClr w14:val="tx1"/>
            </w14:solidFill>
          </w14:textFill>
        </w:rPr>
        <w:t>种植面积</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60</w:t>
      </w:r>
      <w:r>
        <w:rPr>
          <w:rFonts w:hint="eastAsia"/>
          <w:color w:val="000000" w:themeColor="text1"/>
          <w14:textFill>
            <w14:solidFill>
              <w14:schemeClr w14:val="tx1"/>
            </w14:solidFill>
          </w14:textFill>
        </w:rPr>
        <w:t>万平方米，总产4984万公斤。</w:t>
      </w:r>
    </w:p>
    <w:p>
      <w:pPr>
        <w:spacing w:line="600" w:lineRule="exact"/>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兴安县葡萄种植早</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种植</w:t>
      </w:r>
      <w:r>
        <w:rPr>
          <w:color w:val="000000" w:themeColor="text1"/>
          <w14:textFill>
            <w14:solidFill>
              <w14:schemeClr w14:val="tx1"/>
            </w14:solidFill>
          </w14:textFill>
        </w:rPr>
        <w:t>面积</w:t>
      </w:r>
      <w:r>
        <w:rPr>
          <w:rFonts w:hint="eastAsia"/>
          <w:color w:val="000000" w:themeColor="text1"/>
          <w14:textFill>
            <w14:solidFill>
              <w14:schemeClr w14:val="tx1"/>
            </w14:solidFill>
          </w14:textFill>
        </w:rPr>
        <w:t>大</w:t>
      </w:r>
      <w:r>
        <w:rPr>
          <w:color w:val="000000" w:themeColor="text1"/>
          <w14:textFill>
            <w14:solidFill>
              <w14:schemeClr w14:val="tx1"/>
            </w14:solidFill>
          </w14:textFill>
        </w:rPr>
        <w:t>，有</w:t>
      </w:r>
      <w:r>
        <w:rPr>
          <w:rFonts w:asciiTheme="minorEastAsia" w:hAnsiTheme="minorEastAsia" w:eastAsiaTheme="minorEastAsia"/>
          <w:color w:val="000000" w:themeColor="text1"/>
          <w14:textFill>
            <w14:solidFill>
              <w14:schemeClr w14:val="tx1"/>
            </w14:solidFill>
          </w14:textFill>
        </w:rPr>
        <w:t>“</w:t>
      </w:r>
      <w:r>
        <w:rPr>
          <w:rFonts w:hint="eastAsia"/>
          <w:color w:val="000000" w:themeColor="text1"/>
          <w14:textFill>
            <w14:solidFill>
              <w14:schemeClr w14:val="tx1"/>
            </w14:solidFill>
          </w14:textFill>
        </w:rPr>
        <w:t>南方</w:t>
      </w:r>
      <w:r>
        <w:rPr>
          <w:color w:val="000000" w:themeColor="text1"/>
          <w14:textFill>
            <w14:solidFill>
              <w14:schemeClr w14:val="tx1"/>
            </w14:solidFill>
          </w14:textFill>
        </w:rPr>
        <w:t>吐鲁番</w:t>
      </w:r>
      <w:r>
        <w:rPr>
          <w:rFonts w:asciiTheme="minorEastAsia" w:hAnsiTheme="minorEastAsia" w:eastAsiaTheme="minorEastAsia"/>
          <w:color w:val="000000" w:themeColor="text1"/>
          <w14:textFill>
            <w14:solidFill>
              <w14:schemeClr w14:val="tx1"/>
            </w14:solidFill>
          </w14:textFill>
        </w:rPr>
        <w:t>”</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美誉</w:t>
      </w:r>
      <w:r>
        <w:rPr>
          <w:rFonts w:hint="eastAsia"/>
          <w:color w:val="000000" w:themeColor="text1"/>
          <w14:textFill>
            <w14:solidFill>
              <w14:schemeClr w14:val="tx1"/>
            </w14:solidFill>
          </w14:textFill>
        </w:rPr>
        <w:t>，种植</w:t>
      </w:r>
      <w:r>
        <w:rPr>
          <w:color w:val="000000" w:themeColor="text1"/>
          <w14:textFill>
            <w14:solidFill>
              <w14:schemeClr w14:val="tx1"/>
            </w14:solidFill>
          </w14:textFill>
        </w:rPr>
        <w:t>面积</w:t>
      </w:r>
      <w:r>
        <w:rPr>
          <w:rFonts w:hint="eastAsia"/>
          <w:color w:val="000000" w:themeColor="text1"/>
          <w14:textFill>
            <w14:solidFill>
              <w14:schemeClr w14:val="tx1"/>
            </w14:solidFill>
          </w14:textFill>
        </w:rPr>
        <w:t>位居</w:t>
      </w:r>
      <w:r>
        <w:rPr>
          <w:color w:val="000000" w:themeColor="text1"/>
          <w14:textFill>
            <w14:solidFill>
              <w14:schemeClr w14:val="tx1"/>
            </w14:solidFill>
          </w14:textFill>
        </w:rPr>
        <w:t>广西第一</w:t>
      </w:r>
      <w:r>
        <w:rPr>
          <w:rFonts w:hint="eastAsia"/>
          <w:color w:val="000000" w:themeColor="text1"/>
          <w14:textFill>
            <w14:solidFill>
              <w14:schemeClr w14:val="tx1"/>
            </w14:solidFill>
          </w14:textFill>
        </w:rPr>
        <w:t>。兴安县从上世纪</w:t>
      </w:r>
      <w:r>
        <w:rPr>
          <w:color w:val="000000" w:themeColor="text1"/>
          <w14:textFill>
            <w14:solidFill>
              <w14:schemeClr w14:val="tx1"/>
            </w14:solidFill>
          </w14:textFill>
        </w:rPr>
        <w:t>80</w:t>
      </w:r>
      <w:r>
        <w:rPr>
          <w:rFonts w:hint="eastAsia"/>
          <w:color w:val="000000" w:themeColor="text1"/>
          <w14:textFill>
            <w14:solidFill>
              <w14:schemeClr w14:val="tx1"/>
            </w14:solidFill>
          </w14:textFill>
        </w:rPr>
        <w:t>年代中期开始引种巨峰葡萄品种，经过</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多年的摸索、实践、总结，从粗放型管理、低技术含量、低效益产出到科学种植、精细化管护、高效益高产出的质的飞跃，形成了规模化、标准化、产业化的生产格局。</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兴安</w:t>
      </w:r>
      <w:r>
        <w:rPr>
          <w:color w:val="000000" w:themeColor="text1"/>
          <w14:textFill>
            <w14:solidFill>
              <w14:schemeClr w14:val="tx1"/>
            </w14:solidFill>
          </w14:textFill>
        </w:rPr>
        <w:t>县</w:t>
      </w:r>
      <w:r>
        <w:rPr>
          <w:rFonts w:hint="eastAsia"/>
          <w:color w:val="000000" w:themeColor="text1"/>
          <w14:textFill>
            <w14:solidFill>
              <w14:schemeClr w14:val="tx1"/>
            </w14:solidFill>
          </w14:textFill>
        </w:rPr>
        <w:t>是全国重要</w:t>
      </w:r>
      <w:r>
        <w:rPr>
          <w:color w:val="000000" w:themeColor="text1"/>
          <w14:textFill>
            <w14:solidFill>
              <w14:schemeClr w14:val="tx1"/>
            </w14:solidFill>
          </w14:textFill>
        </w:rPr>
        <w:t>的银杏生产基地</w:t>
      </w:r>
      <w:r>
        <w:rPr>
          <w:rFonts w:hint="eastAsia"/>
          <w:color w:val="000000" w:themeColor="text1"/>
          <w14:textFill>
            <w14:solidFill>
              <w14:schemeClr w14:val="tx1"/>
            </w14:solidFill>
          </w14:textFill>
        </w:rPr>
        <w:t>，银杏种植面积位于全国</w:t>
      </w:r>
      <w:r>
        <w:rPr>
          <w:color w:val="000000" w:themeColor="text1"/>
          <w14:textFill>
            <w14:solidFill>
              <w14:schemeClr w14:val="tx1"/>
            </w14:solidFill>
          </w14:textFill>
        </w:rPr>
        <w:t>前列</w:t>
      </w:r>
      <w:r>
        <w:rPr>
          <w:rFonts w:hint="eastAsia"/>
          <w:color w:val="000000" w:themeColor="text1"/>
          <w14:textFill>
            <w14:solidFill>
              <w14:schemeClr w14:val="tx1"/>
            </w14:solidFill>
          </w14:textFill>
        </w:rPr>
        <w:t>，</w:t>
      </w:r>
      <w:r>
        <w:rPr>
          <w:rFonts w:hint="eastAsia" w:ascii="宋体" w:hAnsi="宋体" w:cs="宋体"/>
          <w:color w:val="000000"/>
          <w:szCs w:val="28"/>
        </w:rPr>
        <w:t>是全国最大的银杏产区之一，素有</w:t>
      </w:r>
      <w:r>
        <w:rPr>
          <w:rFonts w:hint="eastAsia" w:cs="宋体" w:asciiTheme="minorEastAsia" w:hAnsiTheme="minorEastAsia" w:eastAsiaTheme="minorEastAsia"/>
          <w:color w:val="000000"/>
          <w:szCs w:val="28"/>
        </w:rPr>
        <w:t>“</w:t>
      </w:r>
      <w:r>
        <w:rPr>
          <w:rFonts w:hint="eastAsia" w:ascii="宋体" w:hAnsi="宋体" w:cs="宋体"/>
          <w:color w:val="000000"/>
          <w:szCs w:val="28"/>
        </w:rPr>
        <w:t>银杏之乡</w:t>
      </w:r>
      <w:r>
        <w:rPr>
          <w:rFonts w:hint="eastAsia" w:cs="宋体" w:asciiTheme="minorEastAsia" w:hAnsiTheme="minorEastAsia" w:eastAsiaTheme="minorEastAsia"/>
          <w:color w:val="000000"/>
          <w:szCs w:val="28"/>
        </w:rPr>
        <w:t>”</w:t>
      </w:r>
      <w:r>
        <w:rPr>
          <w:rFonts w:hint="eastAsia" w:ascii="宋体" w:hAnsi="宋体" w:cs="宋体"/>
          <w:color w:val="000000"/>
          <w:szCs w:val="28"/>
        </w:rPr>
        <w:t>的美称，漠川乡是一个拥有两千多年历史的典型山区文化乡，初冬季节，“银杏之乡”兴安县漠川乡迎来银杏最佳观赏季，全乡有银杏树100多万株，其中有古银杏树2.5万株，到深秋初冬季节，古树叶黄，银杏树上的黄叶如蝴蝶纷纷飘落，遍地金黄，</w:t>
      </w:r>
      <w:r>
        <w:rPr>
          <w:rFonts w:ascii="宋体" w:hAnsi="宋体" w:cs="宋体"/>
          <w:color w:val="000000"/>
          <w:szCs w:val="28"/>
        </w:rPr>
        <w:t>金色的银杏叶与古村落相映，在冬阳的照射下显得格外美丽</w:t>
      </w:r>
      <w:r>
        <w:rPr>
          <w:rFonts w:hint="eastAsia" w:ascii="宋体" w:hAnsi="宋体" w:cs="宋体"/>
          <w:color w:val="000000"/>
          <w:szCs w:val="28"/>
        </w:rPr>
        <w:t>，进入漠川的乡村，慢慢行走，感受那让人炫目的金黄世界，微风袭来，一片片小扇子飘飘洒洒，铺成一地锦绣，让人沉醉，吸引了周边省份的众多游客纷纷前来观赏。</w:t>
      </w:r>
    </w:p>
    <w:p>
      <w:pPr>
        <w:ind w:firstLine="560"/>
        <w:rPr>
          <w:rFonts w:ascii="宋体" w:hAnsi="宋体" w:cs="宋体"/>
          <w:color w:val="000000"/>
          <w:szCs w:val="28"/>
        </w:rPr>
      </w:pPr>
      <w:r>
        <w:rPr>
          <w:rFonts w:hint="eastAsia"/>
          <w:color w:val="000000" w:themeColor="text1"/>
          <w14:textFill>
            <w14:solidFill>
              <w14:schemeClr w14:val="tx1"/>
            </w14:solidFill>
          </w14:textFill>
        </w:rPr>
        <w:t>兴安</w:t>
      </w:r>
      <w:r>
        <w:rPr>
          <w:color w:val="000000" w:themeColor="text1"/>
          <w14:textFill>
            <w14:solidFill>
              <w14:schemeClr w14:val="tx1"/>
            </w14:solidFill>
          </w14:textFill>
        </w:rPr>
        <w:t>县是甜玉米生产大县，</w:t>
      </w:r>
      <w:r>
        <w:rPr>
          <w:rFonts w:hint="eastAsia" w:ascii="宋体" w:hAnsi="宋体" w:cs="宋体"/>
          <w:color w:val="000000"/>
          <w:szCs w:val="28"/>
        </w:rPr>
        <w:t>自2003年兴安县高尚镇引进台湾甜玉米品种华珍种植成功，带动了该县崔家、白石等乡镇甜玉米产业的发展，</w:t>
      </w:r>
      <w:r>
        <w:rPr>
          <w:rFonts w:hint="eastAsia"/>
          <w:color w:val="000000" w:themeColor="text1"/>
          <w14:textFill>
            <w14:solidFill>
              <w14:schemeClr w14:val="tx1"/>
            </w14:solidFill>
          </w14:textFill>
        </w:rPr>
        <w:t>是</w:t>
      </w:r>
      <w:r>
        <w:rPr>
          <w:color w:val="000000" w:themeColor="text1"/>
          <w14:textFill>
            <w14:solidFill>
              <w14:schemeClr w14:val="tx1"/>
            </w14:solidFill>
          </w14:textFill>
        </w:rPr>
        <w:t>广西甜玉米种植第二大县</w:t>
      </w:r>
      <w:r>
        <w:rPr>
          <w:rFonts w:hint="eastAsia"/>
          <w:color w:val="000000" w:themeColor="text1"/>
          <w14:textFill>
            <w14:solidFill>
              <w14:schemeClr w14:val="tx1"/>
            </w14:solidFill>
          </w14:textFill>
        </w:rPr>
        <w:t>。兴安县</w:t>
      </w:r>
      <w:r>
        <w:rPr>
          <w:color w:val="000000" w:themeColor="text1"/>
          <w14:textFill>
            <w14:solidFill>
              <w14:schemeClr w14:val="tx1"/>
            </w14:solidFill>
          </w14:textFill>
        </w:rPr>
        <w:t>鲜食玉米</w:t>
      </w:r>
      <w:r>
        <w:rPr>
          <w:rFonts w:hint="eastAsia" w:ascii="宋体" w:hAnsi="宋体" w:cs="宋体"/>
          <w:color w:val="000000"/>
          <w:szCs w:val="28"/>
        </w:rPr>
        <w:t>种植方式有三种，一是一季稻后鲜食玉米，二是春秋种植一季鲜食玉米；三是春夏秋三季鲜食玉米。产业集中区在高尚镇，探索形式“水稻－鲜食玉米－菜（菜心）－花（休闲观赏菜花）－肥”绿色循环高效种植模式，打造</w:t>
      </w:r>
      <w:r>
        <w:rPr>
          <w:rFonts w:ascii="宋体" w:hAnsi="宋体" w:cs="宋体"/>
          <w:color w:val="000000"/>
          <w:szCs w:val="28"/>
        </w:rPr>
        <w:t>休闲、观光</w:t>
      </w:r>
      <w:r>
        <w:rPr>
          <w:rFonts w:hint="eastAsia" w:ascii="宋体" w:hAnsi="宋体" w:cs="宋体"/>
          <w:color w:val="000000"/>
          <w:szCs w:val="28"/>
        </w:rPr>
        <w:t>吸引</w:t>
      </w:r>
      <w:r>
        <w:rPr>
          <w:rFonts w:ascii="宋体" w:hAnsi="宋体" w:cs="宋体"/>
          <w:color w:val="000000"/>
          <w:szCs w:val="28"/>
        </w:rPr>
        <w:t>游客前来</w:t>
      </w:r>
      <w:r>
        <w:rPr>
          <w:rFonts w:hint="eastAsia" w:ascii="宋体" w:hAnsi="宋体" w:cs="宋体"/>
          <w:color w:val="000000"/>
          <w:szCs w:val="28"/>
        </w:rPr>
        <w:t>游玩，</w:t>
      </w:r>
      <w:r>
        <w:rPr>
          <w:rFonts w:ascii="宋体" w:hAnsi="宋体" w:cs="宋体"/>
          <w:color w:val="000000"/>
          <w:szCs w:val="28"/>
        </w:rPr>
        <w:t>带动旅游产业发展。2018</w:t>
      </w:r>
      <w:r>
        <w:rPr>
          <w:rFonts w:hint="eastAsia" w:ascii="宋体" w:hAnsi="宋体" w:cs="宋体"/>
          <w:color w:val="000000"/>
          <w:szCs w:val="28"/>
        </w:rPr>
        <w:t>年</w:t>
      </w:r>
      <w:r>
        <w:rPr>
          <w:rFonts w:ascii="宋体" w:hAnsi="宋体" w:cs="宋体"/>
          <w:color w:val="000000"/>
          <w:szCs w:val="28"/>
        </w:rPr>
        <w:t>12</w:t>
      </w:r>
      <w:r>
        <w:rPr>
          <w:rFonts w:hint="eastAsia" w:ascii="宋体" w:hAnsi="宋体" w:cs="宋体"/>
          <w:color w:val="000000"/>
          <w:szCs w:val="28"/>
        </w:rPr>
        <w:t>月，兴安县金满田园粮食产业示范区被认定为自治区四星级现代特色农业核心示范区。</w:t>
      </w:r>
    </w:p>
    <w:p>
      <w:pPr>
        <w:ind w:firstLine="560"/>
        <w:rPr>
          <w:rFonts w:ascii="宋体" w:hAnsi="宋体" w:cs="宋体"/>
          <w:color w:val="000000"/>
          <w:szCs w:val="28"/>
        </w:rPr>
      </w:pPr>
      <w:r>
        <w:rPr>
          <w:rFonts w:hint="eastAsia"/>
          <w:color w:val="000000" w:themeColor="text1"/>
          <w14:textFill>
            <w14:solidFill>
              <w14:schemeClr w14:val="tx1"/>
            </w14:solidFill>
          </w14:textFill>
        </w:rPr>
        <w:t>兴安县</w:t>
      </w:r>
      <w:r>
        <w:rPr>
          <w:color w:val="000000" w:themeColor="text1"/>
          <w14:textFill>
            <w14:solidFill>
              <w14:schemeClr w14:val="tx1"/>
            </w14:solidFill>
          </w14:textFill>
        </w:rPr>
        <w:t>是</w:t>
      </w:r>
      <w:r>
        <w:rPr>
          <w:rFonts w:hint="eastAsia"/>
          <w:color w:val="000000" w:themeColor="text1"/>
          <w14:textFill>
            <w14:solidFill>
              <w14:schemeClr w14:val="tx1"/>
            </w14:solidFill>
          </w14:textFill>
        </w:rPr>
        <w:t>全国有名</w:t>
      </w:r>
      <w:r>
        <w:rPr>
          <w:color w:val="000000" w:themeColor="text1"/>
          <w14:textFill>
            <w14:solidFill>
              <w14:schemeClr w14:val="tx1"/>
            </w14:solidFill>
          </w14:textFill>
        </w:rPr>
        <w:t>的柑桔</w:t>
      </w:r>
      <w:r>
        <w:rPr>
          <w:rFonts w:hint="eastAsia"/>
          <w:color w:val="000000" w:themeColor="text1"/>
          <w14:textFill>
            <w14:solidFill>
              <w14:schemeClr w14:val="tx1"/>
            </w14:solidFill>
          </w14:textFill>
        </w:rPr>
        <w:t>产出大县，</w:t>
      </w:r>
      <w:r>
        <w:rPr>
          <w:rFonts w:hint="eastAsia" w:ascii="宋体" w:hAnsi="宋体" w:cs="宋体"/>
          <w:color w:val="000000"/>
          <w:szCs w:val="28"/>
        </w:rPr>
        <w:t>从1968年开始引种柑桔，到上世纪八、九十年代，全县柑桔产业曾辉煌一时，总面积达13.5万亩，总产量达15万吨，整整一代兴安人依此而走向致富之路。</w:t>
      </w:r>
    </w:p>
    <w:p>
      <w:pPr>
        <w:ind w:firstLine="560"/>
        <w:rPr>
          <w:rFonts w:ascii="宋体" w:hAnsi="宋体" w:cs="宋体"/>
          <w:color w:val="000000"/>
          <w:szCs w:val="28"/>
        </w:rPr>
      </w:pPr>
      <w:r>
        <w:rPr>
          <w:rFonts w:hint="eastAsia" w:ascii="宋体" w:hAnsi="宋体" w:cs="宋体"/>
          <w:color w:val="000000"/>
          <w:szCs w:val="28"/>
        </w:rPr>
        <w:t>兴安也</w:t>
      </w:r>
      <w:r>
        <w:rPr>
          <w:color w:val="000000" w:themeColor="text1"/>
          <w14:textFill>
            <w14:solidFill>
              <w14:schemeClr w14:val="tx1"/>
            </w14:solidFill>
          </w14:textFill>
        </w:rPr>
        <w:t>是全国黑木耳种植</w:t>
      </w:r>
      <w:r>
        <w:rPr>
          <w:rFonts w:hint="eastAsia"/>
          <w:color w:val="000000" w:themeColor="text1"/>
          <w14:textFill>
            <w14:solidFill>
              <w14:schemeClr w14:val="tx1"/>
            </w14:solidFill>
          </w14:textFill>
        </w:rPr>
        <w:t>第二大县，食用菌种植面积目前</w:t>
      </w:r>
      <w:r>
        <w:rPr>
          <w:color w:val="000000" w:themeColor="text1"/>
          <w14:textFill>
            <w14:solidFill>
              <w14:schemeClr w14:val="tx1"/>
            </w14:solidFill>
          </w14:textFill>
        </w:rPr>
        <w:t>在桂林市排名第二，</w:t>
      </w:r>
      <w:r>
        <w:rPr>
          <w:rFonts w:hint="eastAsia" w:ascii="宋体" w:hAnsi="宋体" w:cs="宋体"/>
          <w:color w:val="000000"/>
          <w:szCs w:val="28"/>
        </w:rPr>
        <w:t>食用菌产业在我县是一个传统产业，又是一个新兴产业，黑木耳、</w:t>
      </w:r>
      <w:r>
        <w:rPr>
          <w:rFonts w:ascii="宋体" w:hAnsi="宋体" w:cs="宋体"/>
          <w:color w:val="000000"/>
          <w:szCs w:val="28"/>
        </w:rPr>
        <w:t>香菇</w:t>
      </w:r>
      <w:r>
        <w:rPr>
          <w:rFonts w:hint="eastAsia" w:ascii="宋体" w:hAnsi="宋体" w:cs="宋体"/>
          <w:color w:val="000000"/>
          <w:szCs w:val="28"/>
        </w:rPr>
        <w:t>等野生菌，栽培在华江乡、溶江镇</w:t>
      </w:r>
      <w:r>
        <w:rPr>
          <w:rFonts w:ascii="宋体" w:hAnsi="宋体" w:cs="宋体"/>
          <w:color w:val="000000"/>
          <w:szCs w:val="28"/>
        </w:rPr>
        <w:t>（金石</w:t>
      </w:r>
      <w:r>
        <w:rPr>
          <w:rFonts w:hint="eastAsia" w:ascii="宋体" w:hAnsi="宋体" w:cs="宋体"/>
          <w:color w:val="000000"/>
          <w:szCs w:val="28"/>
        </w:rPr>
        <w:t>片区</w:t>
      </w:r>
      <w:r>
        <w:rPr>
          <w:rFonts w:ascii="宋体" w:hAnsi="宋体" w:cs="宋体"/>
          <w:color w:val="000000"/>
          <w:szCs w:val="28"/>
        </w:rPr>
        <w:t>）</w:t>
      </w:r>
      <w:r>
        <w:rPr>
          <w:rFonts w:hint="eastAsia" w:ascii="宋体" w:hAnsi="宋体" w:cs="宋体"/>
          <w:color w:val="000000"/>
          <w:szCs w:val="28"/>
        </w:rPr>
        <w:t>等地有几百年的历史，但大发展却是最近5年的事。2006年食用菌种植面积120万平方米到2018年发展到</w:t>
      </w:r>
      <w:r>
        <w:rPr>
          <w:rFonts w:ascii="宋体" w:hAnsi="宋体" w:cs="宋体"/>
          <w:color w:val="000000"/>
          <w:szCs w:val="28"/>
        </w:rPr>
        <w:t>560</w:t>
      </w:r>
      <w:r>
        <w:rPr>
          <w:rFonts w:hint="eastAsia" w:ascii="宋体" w:hAnsi="宋体" w:cs="宋体"/>
          <w:color w:val="000000"/>
          <w:szCs w:val="28"/>
        </w:rPr>
        <w:t>万平方米，产值由2006年6000万元到201</w:t>
      </w:r>
      <w:r>
        <w:rPr>
          <w:rFonts w:ascii="宋体" w:hAnsi="宋体" w:cs="宋体"/>
          <w:color w:val="000000"/>
          <w:szCs w:val="28"/>
        </w:rPr>
        <w:t>8</w:t>
      </w:r>
      <w:r>
        <w:rPr>
          <w:rFonts w:hint="eastAsia" w:ascii="宋体" w:hAnsi="宋体" w:cs="宋体"/>
          <w:color w:val="000000"/>
          <w:szCs w:val="28"/>
        </w:rPr>
        <w:t>年达到</w:t>
      </w:r>
      <w:r>
        <w:rPr>
          <w:rFonts w:ascii="宋体" w:hAnsi="宋体" w:cs="宋体"/>
          <w:color w:val="000000"/>
          <w:szCs w:val="28"/>
        </w:rPr>
        <w:t>3</w:t>
      </w:r>
      <w:r>
        <w:rPr>
          <w:rFonts w:hint="eastAsia" w:ascii="宋体" w:hAnsi="宋体" w:cs="宋体"/>
          <w:color w:val="000000"/>
          <w:szCs w:val="28"/>
        </w:rPr>
        <w:t>亿元。</w:t>
      </w:r>
    </w:p>
    <w:p>
      <w:pPr>
        <w:ind w:firstLine="560"/>
      </w:pPr>
      <w:r>
        <w:rPr>
          <w:rFonts w:hint="eastAsia"/>
        </w:rPr>
        <w:t>自</w:t>
      </w:r>
      <w:r>
        <w:t>2005</w:t>
      </w:r>
      <w:r>
        <w:rPr>
          <w:rFonts w:hint="eastAsia"/>
        </w:rPr>
        <w:t>年以来食用菌栽培，正悄然从最早使用的木屑、稻草、麦秆等农副产品向下脚料方向发展，特别是一些杂草、果皮、树叶及轻工业废料（药渣）逐渐派上用场。生产季节由原来的种植</w:t>
      </w:r>
      <w:r>
        <w:t>方式到反季节种植</w:t>
      </w:r>
      <w:r>
        <w:rPr>
          <w:rFonts w:hint="eastAsia"/>
        </w:rPr>
        <w:t>方式，生产方式由原来单一在自然条件气候下生产，逐步进行夏季室内冷气条件下生产；生产模式在原来单家农户生产的基础上逐步发展为企业和协会带动，逐步</w:t>
      </w:r>
      <w:r>
        <w:t>向工厂化</w:t>
      </w:r>
      <w:r>
        <w:rPr>
          <w:rFonts w:hint="eastAsia"/>
        </w:rPr>
        <w:t>标准</w:t>
      </w:r>
      <w:r>
        <w:t>生产靠拢</w:t>
      </w:r>
      <w:r>
        <w:rPr>
          <w:rFonts w:hint="eastAsia"/>
        </w:rPr>
        <w:t>，</w:t>
      </w:r>
      <w:r>
        <w:t>有利于</w:t>
      </w:r>
      <w:r>
        <w:rPr>
          <w:rFonts w:hint="eastAsia"/>
        </w:rPr>
        <w:t>增加种植效益，带动我县食用菌标准化生产全面发展，</w:t>
      </w:r>
      <w:r>
        <w:t>提高产品质量和市场竞争力</w:t>
      </w:r>
      <w:r>
        <w:rPr>
          <w:rFonts w:hint="eastAsia"/>
        </w:rPr>
        <w:t>。</w:t>
      </w:r>
    </w:p>
    <w:p>
      <w:pPr>
        <w:ind w:firstLine="560"/>
      </w:pPr>
      <w:r>
        <w:rPr>
          <w:rFonts w:hint="eastAsia"/>
        </w:rPr>
        <w:t xml:space="preserve">2004年、2007年兴安巨峰葡萄两次获得“广西农产品名牌新产品”称号， </w:t>
      </w:r>
      <w:r>
        <w:rPr>
          <w:rFonts w:ascii="宋体" w:hAnsi="宋体" w:cs="宋体"/>
          <w:szCs w:val="28"/>
        </w:rPr>
        <w:t>2006</w:t>
      </w:r>
      <w:r>
        <w:rPr>
          <w:rFonts w:hint="eastAsia" w:ascii="宋体" w:hAnsi="宋体" w:cs="宋体"/>
          <w:szCs w:val="28"/>
        </w:rPr>
        <w:t>年以来，先后荣获</w:t>
      </w:r>
      <w:r>
        <w:rPr>
          <w:rFonts w:ascii="宋体" w:hAnsi="宋体" w:cs="宋体"/>
          <w:szCs w:val="28"/>
        </w:rPr>
        <w:t>“</w:t>
      </w:r>
      <w:r>
        <w:rPr>
          <w:rFonts w:hint="eastAsia" w:ascii="宋体" w:hAnsi="宋体" w:cs="宋体"/>
          <w:szCs w:val="28"/>
        </w:rPr>
        <w:t>全国绿化模范县</w:t>
      </w:r>
      <w:r>
        <w:rPr>
          <w:rFonts w:ascii="宋体" w:hAnsi="宋体" w:cs="宋体"/>
          <w:szCs w:val="28"/>
        </w:rPr>
        <w:t>”</w:t>
      </w:r>
      <w:r>
        <w:rPr>
          <w:rFonts w:hint="eastAsia" w:ascii="宋体" w:hAnsi="宋体" w:cs="宋体"/>
          <w:szCs w:val="28"/>
        </w:rPr>
        <w:t>、</w:t>
      </w:r>
      <w:r>
        <w:rPr>
          <w:rFonts w:ascii="宋体" w:hAnsi="宋体" w:cs="宋体"/>
          <w:szCs w:val="28"/>
        </w:rPr>
        <w:t>“</w:t>
      </w:r>
      <w:r>
        <w:rPr>
          <w:rFonts w:hint="eastAsia" w:ascii="宋体" w:hAnsi="宋体" w:cs="宋体"/>
          <w:szCs w:val="28"/>
        </w:rPr>
        <w:t>国家级生态建设示范区</w:t>
      </w:r>
      <w:r>
        <w:rPr>
          <w:rFonts w:ascii="宋体" w:hAnsi="宋体" w:cs="宋体"/>
          <w:szCs w:val="28"/>
        </w:rPr>
        <w:t>”</w:t>
      </w:r>
      <w:r>
        <w:rPr>
          <w:rFonts w:hint="eastAsia" w:ascii="宋体" w:hAnsi="宋体" w:cs="宋体"/>
          <w:szCs w:val="28"/>
        </w:rPr>
        <w:t>、</w:t>
      </w:r>
      <w:r>
        <w:rPr>
          <w:rFonts w:ascii="宋体" w:hAnsi="宋体" w:cs="宋体"/>
          <w:szCs w:val="28"/>
        </w:rPr>
        <w:t>“</w:t>
      </w:r>
      <w:r>
        <w:rPr>
          <w:rFonts w:hint="eastAsia" w:ascii="宋体" w:hAnsi="宋体" w:cs="宋体"/>
          <w:szCs w:val="28"/>
        </w:rPr>
        <w:t>广西首批绿化模范县</w:t>
      </w:r>
      <w:r>
        <w:rPr>
          <w:rFonts w:ascii="宋体" w:hAnsi="宋体" w:cs="宋体"/>
          <w:szCs w:val="28"/>
        </w:rPr>
        <w:t>”</w:t>
      </w:r>
      <w:r>
        <w:rPr>
          <w:rFonts w:hint="eastAsia" w:ascii="宋体" w:hAnsi="宋体" w:cs="宋体"/>
          <w:szCs w:val="28"/>
        </w:rPr>
        <w:t>、</w:t>
      </w:r>
      <w:r>
        <w:rPr>
          <w:rFonts w:ascii="宋体" w:hAnsi="宋体" w:cs="宋体"/>
          <w:szCs w:val="28"/>
        </w:rPr>
        <w:t>“</w:t>
      </w:r>
      <w:r>
        <w:rPr>
          <w:rFonts w:hint="eastAsia" w:ascii="宋体" w:hAnsi="宋体" w:cs="宋体"/>
          <w:szCs w:val="28"/>
        </w:rPr>
        <w:t>全国绿化模范县</w:t>
      </w:r>
      <w:r>
        <w:rPr>
          <w:rFonts w:ascii="宋体" w:hAnsi="宋体" w:cs="宋体"/>
          <w:szCs w:val="28"/>
        </w:rPr>
        <w:t>”</w:t>
      </w:r>
      <w:r>
        <w:rPr>
          <w:rFonts w:hint="eastAsia" w:ascii="宋体" w:hAnsi="宋体" w:cs="宋体"/>
          <w:szCs w:val="28"/>
        </w:rPr>
        <w:t>、</w:t>
      </w:r>
      <w:r>
        <w:rPr>
          <w:rFonts w:ascii="宋体" w:hAnsi="宋体" w:cs="宋体"/>
          <w:szCs w:val="28"/>
        </w:rPr>
        <w:t>“</w:t>
      </w:r>
      <w:r>
        <w:rPr>
          <w:rFonts w:hint="eastAsia" w:ascii="宋体" w:hAnsi="宋体" w:cs="宋体"/>
          <w:szCs w:val="28"/>
        </w:rPr>
        <w:t>中国竹子之乡</w:t>
      </w:r>
      <w:r>
        <w:rPr>
          <w:rFonts w:ascii="宋体" w:hAnsi="宋体" w:cs="宋体"/>
          <w:szCs w:val="28"/>
        </w:rPr>
        <w:t>”</w:t>
      </w:r>
      <w:r>
        <w:rPr>
          <w:rFonts w:hint="eastAsia" w:ascii="宋体" w:hAnsi="宋体" w:cs="宋体"/>
          <w:szCs w:val="28"/>
        </w:rPr>
        <w:t>等荣誉；</w:t>
      </w:r>
      <w:r>
        <w:rPr>
          <w:rFonts w:hint="eastAsia"/>
        </w:rPr>
        <w:t>2008年6月，兴安被中国</w:t>
      </w:r>
      <w:r>
        <w:fldChar w:fldCharType="begin"/>
      </w:r>
      <w:r>
        <w:instrText xml:space="preserve"> HYPERLINK "http://shop.bytravel.cn/produce/679C54C1/" \t "_blank" </w:instrText>
      </w:r>
      <w:r>
        <w:fldChar w:fldCharType="separate"/>
      </w:r>
      <w:r>
        <w:rPr>
          <w:rFonts w:hint="eastAsia"/>
        </w:rPr>
        <w:t>果品</w:t>
      </w:r>
      <w:r>
        <w:rPr>
          <w:rFonts w:hint="eastAsia"/>
        </w:rPr>
        <w:fldChar w:fldCharType="end"/>
      </w:r>
      <w:r>
        <w:rPr>
          <w:rFonts w:hint="eastAsia"/>
        </w:rPr>
        <w:t>流通协会评为“全国优质葡萄生产基地”；</w:t>
      </w:r>
      <w:r>
        <w:rPr>
          <w:rFonts w:hint="eastAsia" w:ascii="宋体" w:hAnsi="宋体" w:cs="宋体"/>
          <w:color w:val="000000"/>
          <w:szCs w:val="28"/>
        </w:rPr>
        <w:t>2012年兴安县被广西农业厅授予“广西食用菌产业发展十强县”称号</w:t>
      </w:r>
      <w:r>
        <w:rPr>
          <w:rFonts w:hint="eastAsia" w:ascii="宋体" w:hAnsi="宋体" w:cs="宋体"/>
          <w:szCs w:val="28"/>
        </w:rPr>
        <w:t>；</w:t>
      </w:r>
      <w:r>
        <w:rPr>
          <w:rFonts w:hint="eastAsia" w:ascii="宋体" w:hAnsi="宋体" w:cs="宋体"/>
          <w:color w:val="000000"/>
          <w:szCs w:val="28"/>
        </w:rPr>
        <w:t>2017年11月，兴安红色湘江蜜桔产业示范区被认定为广西三星级现代特色农业（核心）示范区；2017年兴安县葡萄荣获地理标志登记保护产品。目前，</w:t>
      </w:r>
      <w:r>
        <w:rPr>
          <w:rFonts w:hint="eastAsia"/>
        </w:rPr>
        <w:t>产业发展情况良好，产品供应充足，产品质量也在逐步提高，经济效益稳步增长，</w:t>
      </w:r>
      <w:r>
        <w:rPr>
          <w:rFonts w:hint="eastAsia"/>
          <w:color w:val="000000" w:themeColor="text1"/>
          <w14:textFill>
            <w14:solidFill>
              <w14:schemeClr w14:val="tx1"/>
            </w14:solidFill>
          </w14:textFill>
        </w:rPr>
        <w:t>葡萄、银杏、甜玉米、柑桔、食用菌</w:t>
      </w:r>
      <w:r>
        <w:rPr>
          <w:color w:val="000000" w:themeColor="text1"/>
          <w14:textFill>
            <w14:solidFill>
              <w14:schemeClr w14:val="tx1"/>
            </w14:solidFill>
          </w14:textFill>
        </w:rPr>
        <w:t>产业基础好。</w:t>
      </w:r>
    </w:p>
    <w:p>
      <w:pPr>
        <w:ind w:firstLine="560"/>
        <w:rPr>
          <w:rFonts w:ascii="宋体" w:hAnsi="宋体" w:cs="宋体"/>
          <w:color w:val="000000"/>
          <w:szCs w:val="28"/>
        </w:rPr>
      </w:pPr>
    </w:p>
    <w:p>
      <w:pPr>
        <w:ind w:left="560" w:firstLine="0" w:firstLineChars="0"/>
        <w:rPr>
          <w:rFonts w:ascii="仿宋" w:hAnsi="仿宋"/>
          <w:b/>
          <w:szCs w:val="28"/>
        </w:rPr>
      </w:pPr>
    </w:p>
    <w:p>
      <w:pPr>
        <w:ind w:left="560" w:firstLine="0" w:firstLineChars="0"/>
        <w:rPr>
          <w:rFonts w:ascii="宋体" w:hAnsi="宋体"/>
        </w:rPr>
      </w:pPr>
      <w:r>
        <w:rPr>
          <w:rFonts w:ascii="宋体" w:hAnsi="宋体"/>
          <w:b/>
          <w:szCs w:val="28"/>
        </w:rPr>
        <w:t>3.</w:t>
      </w:r>
      <w:r>
        <w:rPr>
          <w:rFonts w:hint="eastAsia" w:ascii="宋体" w:hAnsi="宋体"/>
          <w:b/>
          <w:szCs w:val="28"/>
        </w:rPr>
        <w:t>政府积极性高</w:t>
      </w:r>
    </w:p>
    <w:p>
      <w:pPr>
        <w:ind w:firstLine="551" w:firstLineChars="196"/>
        <w:rPr>
          <w:rFonts w:ascii="宋体" w:hAnsi="宋体" w:cs="宋体"/>
          <w:b/>
          <w:color w:val="0D0D0D"/>
          <w:kern w:val="0"/>
          <w:szCs w:val="28"/>
        </w:rPr>
      </w:pPr>
      <w:r>
        <w:rPr>
          <w:rFonts w:hint="eastAsia" w:ascii="宋体" w:hAnsi="宋体" w:cs="宋体"/>
          <w:b/>
          <w:color w:val="0D0D0D"/>
          <w:kern w:val="0"/>
          <w:szCs w:val="28"/>
        </w:rPr>
        <w:t>(1)兴安县党委、政府高度重视</w:t>
      </w:r>
    </w:p>
    <w:p>
      <w:pPr>
        <w:ind w:firstLine="560"/>
        <w:rPr>
          <w:rFonts w:ascii="宋体" w:hAnsi="宋体" w:cs="宋体"/>
          <w:color w:val="0D0D0D"/>
          <w:kern w:val="0"/>
          <w:szCs w:val="28"/>
        </w:rPr>
      </w:pPr>
      <w:r>
        <w:rPr>
          <w:rFonts w:hint="eastAsia" w:ascii="宋体" w:hAnsi="宋体" w:cs="宋体"/>
          <w:color w:val="0D0D0D"/>
          <w:kern w:val="0"/>
          <w:szCs w:val="28"/>
        </w:rPr>
        <w:t>兴安县把促进优势区产业的转型升级和可持续发展作为实施乡村振兴战略的一项重要内容，全面推广绿色标准化生产技术，引导农户自觉遵守和接受绿色生产规范，同时积极申报绿色生态高效生产等项目，努力争取得到了农业农村部、自治区农业农村厅的大力支持。</w:t>
      </w:r>
    </w:p>
    <w:p>
      <w:pPr>
        <w:ind w:firstLine="551" w:firstLineChars="196"/>
        <w:rPr>
          <w:rFonts w:ascii="宋体" w:hAnsi="宋体" w:cs="宋体"/>
          <w:b/>
          <w:color w:val="0D0D0D"/>
          <w:kern w:val="0"/>
          <w:szCs w:val="28"/>
        </w:rPr>
      </w:pPr>
      <w:r>
        <w:rPr>
          <w:rFonts w:hint="eastAsia" w:ascii="宋体" w:hAnsi="宋体" w:cs="宋体"/>
          <w:b/>
          <w:color w:val="0D0D0D"/>
          <w:kern w:val="0"/>
          <w:szCs w:val="28"/>
        </w:rPr>
        <w:t>(2)农村金融保障能力增强</w:t>
      </w:r>
    </w:p>
    <w:p>
      <w:pPr>
        <w:ind w:firstLine="548" w:firstLineChars="196"/>
        <w:rPr>
          <w:rFonts w:ascii="宋体" w:hAnsi="宋体" w:cs="宋体"/>
          <w:color w:val="0D0D0D"/>
          <w:kern w:val="0"/>
          <w:szCs w:val="28"/>
        </w:rPr>
      </w:pPr>
      <w:r>
        <w:rPr>
          <w:rFonts w:hint="eastAsia" w:ascii="宋体" w:hAnsi="宋体" w:cs="宋体"/>
          <w:bCs/>
          <w:color w:val="0D0D0D"/>
          <w:kern w:val="0"/>
          <w:szCs w:val="28"/>
        </w:rPr>
        <w:t>在</w:t>
      </w:r>
      <w:r>
        <w:rPr>
          <w:rFonts w:hint="eastAsia" w:ascii="宋体" w:hAnsi="宋体" w:cs="宋体"/>
          <w:color w:val="0D0D0D"/>
          <w:kern w:val="0"/>
          <w:szCs w:val="28"/>
        </w:rPr>
        <w:t>兴安县境内种植的葡萄</w:t>
      </w:r>
      <w:r>
        <w:rPr>
          <w:rFonts w:ascii="宋体" w:hAnsi="宋体" w:cs="宋体"/>
          <w:color w:val="0D0D0D"/>
          <w:kern w:val="0"/>
          <w:szCs w:val="28"/>
        </w:rPr>
        <w:t>、银杏</w:t>
      </w:r>
      <w:r>
        <w:rPr>
          <w:rFonts w:hint="eastAsia" w:ascii="宋体" w:hAnsi="宋体" w:cs="宋体"/>
          <w:color w:val="0D0D0D"/>
          <w:kern w:val="0"/>
          <w:szCs w:val="28"/>
        </w:rPr>
        <w:t>、</w:t>
      </w:r>
      <w:r>
        <w:rPr>
          <w:rFonts w:ascii="宋体" w:hAnsi="宋体" w:cs="宋体"/>
          <w:color w:val="0D0D0D"/>
          <w:kern w:val="0"/>
          <w:szCs w:val="28"/>
        </w:rPr>
        <w:t>甜玉米、柑桔</w:t>
      </w:r>
      <w:r>
        <w:rPr>
          <w:rFonts w:hint="eastAsia" w:ascii="宋体" w:hAnsi="宋体" w:cs="宋体"/>
          <w:color w:val="0D0D0D"/>
          <w:kern w:val="0"/>
          <w:szCs w:val="28"/>
        </w:rPr>
        <w:t>，栽培的</w:t>
      </w:r>
      <w:r>
        <w:rPr>
          <w:rFonts w:ascii="宋体" w:hAnsi="宋体" w:cs="宋体"/>
          <w:color w:val="0D0D0D"/>
          <w:kern w:val="0"/>
          <w:szCs w:val="28"/>
        </w:rPr>
        <w:t>食用菌</w:t>
      </w:r>
      <w:r>
        <w:rPr>
          <w:rFonts w:hint="eastAsia" w:ascii="宋体" w:hAnsi="宋体" w:cs="宋体"/>
          <w:color w:val="0D0D0D"/>
          <w:kern w:val="0"/>
          <w:szCs w:val="28"/>
        </w:rPr>
        <w:t>，都可以得到广西农村商业银行和中国农业银行兴安支行的支持。</w:t>
      </w:r>
    </w:p>
    <w:p>
      <w:pPr>
        <w:ind w:firstLine="551" w:firstLineChars="196"/>
        <w:rPr>
          <w:rFonts w:ascii="宋体" w:hAnsi="宋体" w:cs="宋体"/>
          <w:b/>
          <w:color w:val="0D0D0D"/>
          <w:kern w:val="0"/>
          <w:szCs w:val="28"/>
        </w:rPr>
      </w:pPr>
      <w:r>
        <w:rPr>
          <w:rFonts w:hint="eastAsia" w:ascii="宋体" w:hAnsi="宋体" w:cs="宋体"/>
          <w:b/>
          <w:color w:val="0D0D0D"/>
          <w:kern w:val="0"/>
          <w:szCs w:val="28"/>
        </w:rPr>
        <w:t>(3)新型经营主体人才体系建设水平不断提升</w:t>
      </w:r>
    </w:p>
    <w:p>
      <w:pPr>
        <w:ind w:firstLine="548" w:firstLineChars="196"/>
        <w:rPr>
          <w:rFonts w:ascii="宋体" w:hAnsi="宋体" w:cs="宋体"/>
          <w:color w:val="0D0D0D"/>
          <w:kern w:val="0"/>
          <w:szCs w:val="28"/>
        </w:rPr>
      </w:pPr>
      <w:r>
        <w:rPr>
          <w:rFonts w:hint="eastAsia" w:ascii="宋体" w:hAnsi="宋体" w:cs="宋体"/>
          <w:color w:val="0D0D0D"/>
          <w:kern w:val="0"/>
          <w:szCs w:val="28"/>
        </w:rPr>
        <w:t>建立家庭农场、合作社培训制度，坚持内部培养与外部引进相结合，分级建立农民合作社带头人人才库。把农民合作社人才纳入现代农业人才支撑计划、新型职业农民培育工程等项目，开展理事长、经营管理人员、财会人员培训。建立人才引进机制，制定优惠政策，鼓励农、林、水技术人员、农村能人、高校毕业生等领头创办农民专业合作社，支持高校毕业生到农民合作社工作，引导农民合作社聘请职业经理人。加强新型经营主体信息设备条件建设，利用物联网等现代信息技术开展生产经营、技术培训、财务社务管理，积极发展电子商务，鼓励建立网站、短信平台，发布生产技术、市场信息，公布重大事项和日常运行情况，探索运用短信、网络等方式进行民主决策。</w:t>
      </w:r>
    </w:p>
    <w:p>
      <w:pPr>
        <w:ind w:firstLine="548" w:firstLineChars="196"/>
        <w:rPr>
          <w:rFonts w:ascii="宋体" w:hAnsi="宋体" w:cs="宋体"/>
          <w:color w:val="0D0D0D"/>
          <w:kern w:val="0"/>
          <w:szCs w:val="28"/>
        </w:rPr>
      </w:pPr>
    </w:p>
    <w:p>
      <w:pPr>
        <w:ind w:firstLine="548" w:firstLineChars="196"/>
        <w:rPr>
          <w:rFonts w:ascii="宋体" w:hAnsi="宋体" w:cs="宋体"/>
          <w:color w:val="0D0D0D"/>
          <w:kern w:val="0"/>
          <w:szCs w:val="28"/>
        </w:rPr>
      </w:pPr>
    </w:p>
    <w:p>
      <w:pPr>
        <w:pStyle w:val="4"/>
        <w:spacing w:before="156" w:after="156"/>
        <w:ind w:firstLine="452"/>
      </w:pPr>
      <w:r>
        <w:rPr>
          <w:rFonts w:hint="eastAsia"/>
        </w:rPr>
        <w:t>（二）劣势分析（Weaknesses）</w:t>
      </w:r>
    </w:p>
    <w:p>
      <w:pPr>
        <w:ind w:firstLine="562"/>
        <w:rPr>
          <w:b/>
        </w:rPr>
      </w:pPr>
      <w:bookmarkStart w:id="55" w:name="_Toc414698215"/>
      <w:bookmarkStart w:id="56" w:name="_Toc402520151"/>
      <w:bookmarkStart w:id="57" w:name="_Toc414455921"/>
      <w:bookmarkStart w:id="58" w:name="_Toc402519371"/>
      <w:r>
        <w:rPr>
          <w:rFonts w:hint="eastAsia"/>
          <w:b/>
        </w:rPr>
        <w:t>1.</w:t>
      </w:r>
      <w:bookmarkEnd w:id="55"/>
      <w:bookmarkEnd w:id="56"/>
      <w:bookmarkEnd w:id="57"/>
      <w:bookmarkEnd w:id="58"/>
      <w:r>
        <w:rPr>
          <w:rFonts w:hint="eastAsia"/>
          <w:b/>
        </w:rPr>
        <w:t>基础设施配套不强，标准化生产滞后</w:t>
      </w:r>
    </w:p>
    <w:p>
      <w:pPr>
        <w:ind w:firstLine="560"/>
      </w:pPr>
      <w:r>
        <w:rPr>
          <w:rFonts w:hint="eastAsia"/>
        </w:rPr>
        <w:t>兴安县基础设施建设工作取得了一定的成绩。但是，仍存在不少困难和薄弱环节，主要表现在：一是基础设施投入力度不够，排灌渠系等基础设施不完善，导致劳动生产率不高；二是水利设施建设滞后，现有水利设施标准低，老化失修，水利工程的效益得不到充分发挥。</w:t>
      </w:r>
    </w:p>
    <w:p>
      <w:pPr>
        <w:ind w:left="560" w:firstLine="0" w:firstLineChars="0"/>
        <w:rPr>
          <w:rFonts w:ascii="仿宋" w:hAnsi="仿宋"/>
          <w:b/>
          <w:color w:val="171717"/>
          <w:szCs w:val="28"/>
        </w:rPr>
      </w:pPr>
      <w:r>
        <w:rPr>
          <w:rFonts w:hint="eastAsia" w:ascii="仿宋" w:hAnsi="仿宋"/>
          <w:b/>
          <w:color w:val="171717"/>
          <w:szCs w:val="28"/>
        </w:rPr>
        <w:t xml:space="preserve">2.产业链条不健全，产品销售渠道单一 </w:t>
      </w:r>
    </w:p>
    <w:p>
      <w:pPr>
        <w:ind w:firstLine="560"/>
        <w:rPr>
          <w:color w:val="171717"/>
        </w:rPr>
      </w:pPr>
      <w:r>
        <w:rPr>
          <w:rFonts w:hint="eastAsia"/>
          <w:color w:val="171717"/>
        </w:rPr>
        <w:t>目前</w:t>
      </w:r>
      <w:r>
        <w:rPr>
          <w:color w:val="171717"/>
        </w:rPr>
        <w:t>，</w:t>
      </w:r>
      <w:r>
        <w:rPr>
          <w:rFonts w:hint="eastAsia"/>
          <w:color w:val="171717"/>
        </w:rPr>
        <w:t>兴安县</w:t>
      </w:r>
      <w:r>
        <w:rPr>
          <w:color w:val="171717"/>
        </w:rPr>
        <w:t>的</w:t>
      </w:r>
      <w:r>
        <w:rPr>
          <w:rFonts w:hint="eastAsia"/>
          <w:color w:val="171717"/>
        </w:rPr>
        <w:t>葡萄、银杏、甜玉米、柑桔、食用菌</w:t>
      </w:r>
      <w:r>
        <w:rPr>
          <w:color w:val="171717"/>
        </w:rPr>
        <w:t>面积</w:t>
      </w:r>
      <w:r>
        <w:rPr>
          <w:rFonts w:hint="eastAsia"/>
          <w:color w:val="171717"/>
        </w:rPr>
        <w:t>已经</w:t>
      </w:r>
      <w:r>
        <w:rPr>
          <w:color w:val="171717"/>
        </w:rPr>
        <w:t>有一定的</w:t>
      </w:r>
      <w:r>
        <w:rPr>
          <w:rFonts w:hint="eastAsia"/>
          <w:color w:val="171717"/>
        </w:rPr>
        <w:t>规模</w:t>
      </w:r>
      <w:r>
        <w:rPr>
          <w:color w:val="171717"/>
        </w:rPr>
        <w:t>，而且还在逐渐增加</w:t>
      </w:r>
      <w:r>
        <w:rPr>
          <w:rFonts w:hint="eastAsia"/>
          <w:color w:val="171717"/>
        </w:rPr>
        <w:t>，</w:t>
      </w:r>
      <w:r>
        <w:rPr>
          <w:rFonts w:hint="eastAsia" w:ascii="宋体" w:hAnsi="宋体" w:cs="宋体"/>
          <w:color w:val="171717"/>
          <w:kern w:val="0"/>
          <w:szCs w:val="28"/>
        </w:rPr>
        <w:t>随着全县大规模投产及市场价格波动影响，出现“旺销-扩种-难卖”的传统“伤心模式”的潜在风险在增加。产业发展区域品牌强，</w:t>
      </w:r>
      <w:r>
        <w:rPr>
          <w:color w:val="171717"/>
        </w:rPr>
        <w:t>但</w:t>
      </w:r>
      <w:r>
        <w:rPr>
          <w:rFonts w:hint="eastAsia"/>
          <w:color w:val="171717"/>
        </w:rPr>
        <w:t>企业品牌较弱，缺乏企业品牌的支撑。</w:t>
      </w:r>
      <w:r>
        <w:rPr>
          <w:rFonts w:hint="eastAsia" w:ascii="宋体" w:hAnsi="宋体" w:cs="宋体"/>
          <w:color w:val="171717"/>
          <w:kern w:val="0"/>
          <w:szCs w:val="28"/>
        </w:rPr>
        <w:t>从事农产品市场营销活动的主体主要是批发商与零售个体户，绝大部分农户是在田间地头坐等上门收购，统装混级销售非常普遍。</w:t>
      </w:r>
      <w:r>
        <w:rPr>
          <w:rFonts w:hint="eastAsia"/>
          <w:color w:val="171717"/>
        </w:rPr>
        <w:t>生产、收购、销售到加工的产业链还不完善，冷储仓链体系不健全，精品包装、品牌化销售滞后，加工企业缺位，产品附加值低，影响了产业效益的充分发挥，这些就成为制约兴安产业进一步发展和产业升级的瓶颈。</w:t>
      </w:r>
    </w:p>
    <w:p>
      <w:pPr>
        <w:ind w:left="560" w:firstLine="0" w:firstLineChars="0"/>
        <w:rPr>
          <w:rFonts w:ascii="仿宋" w:hAnsi="仿宋"/>
          <w:b/>
          <w:color w:val="171717"/>
          <w:szCs w:val="28"/>
        </w:rPr>
      </w:pPr>
      <w:r>
        <w:rPr>
          <w:rFonts w:ascii="仿宋" w:hAnsi="仿宋"/>
          <w:b/>
          <w:color w:val="171717"/>
          <w:szCs w:val="28"/>
        </w:rPr>
        <w:t>3</w:t>
      </w:r>
      <w:r>
        <w:rPr>
          <w:rFonts w:hint="eastAsia" w:ascii="仿宋" w:hAnsi="仿宋"/>
          <w:b/>
          <w:color w:val="171717"/>
          <w:szCs w:val="28"/>
        </w:rPr>
        <w:t>.技术服务体系不完善，科技</w:t>
      </w:r>
      <w:r>
        <w:rPr>
          <w:rFonts w:ascii="仿宋" w:hAnsi="仿宋"/>
          <w:b/>
          <w:color w:val="171717"/>
          <w:szCs w:val="28"/>
        </w:rPr>
        <w:t>创新和引进力度不够</w:t>
      </w:r>
    </w:p>
    <w:p>
      <w:pPr>
        <w:ind w:firstLine="560"/>
        <w:rPr>
          <w:color w:val="171717"/>
        </w:rPr>
      </w:pPr>
      <w:r>
        <w:rPr>
          <w:rFonts w:hint="eastAsia"/>
        </w:rPr>
        <w:t>由于兴安县专门指导主导产业发展的技术人员匮乏，本地农民的技术大多是种植过程中经验的堆积，理论水平较低，而种植面积大，技术业务较多，有些边远乡镇宣传力度不够，积极性不高，发展不平衡，试验站的科研力量不足，对新品种开发和农产品种植过程中出现的新问题认识和解决不够。农业管理和技术推广人员队伍力量不足，新设施、新品种和新技术的推广应用率较低，科技经费少，科技项目开展不多，技术培训不全面，新品种、新技术、新材料的引进力度不够。</w:t>
      </w:r>
      <w:r>
        <w:rPr>
          <w:rFonts w:hint="eastAsia"/>
          <w:color w:val="171717"/>
        </w:rPr>
        <w:t>同时，由于大量青壮年劳动力外出打工，</w:t>
      </w:r>
      <w:r>
        <w:rPr>
          <w:rFonts w:hint="eastAsia"/>
        </w:rPr>
        <w:t>当地农业从业人员文化水平较低，</w:t>
      </w:r>
      <w:r>
        <w:rPr>
          <w:rFonts w:hint="eastAsia"/>
          <w:color w:val="171717"/>
        </w:rPr>
        <w:t>主要</w:t>
      </w:r>
      <w:r>
        <w:rPr>
          <w:rFonts w:hint="eastAsia"/>
        </w:rPr>
        <w:t>以中老年劳动力为主；</w:t>
      </w:r>
      <w:r>
        <w:rPr>
          <w:rFonts w:hint="eastAsia"/>
          <w:color w:val="171717"/>
        </w:rPr>
        <w:t>文化程度普遍较低或年龄较大，对核心技术掌握不准确，导致关键时节病虫害防治不到位，技术推广运用难度大。而专业合作社、龙头企业总体来说数量少、规模小、质量低，能够发挥作用的更是寥寥无几，面对激烈的市场竞争，生产缺乏严密的组织，各自为阵，抵御风险的能力较差，</w:t>
      </w:r>
      <w:r>
        <w:rPr>
          <w:rFonts w:hint="eastAsia"/>
        </w:rPr>
        <w:t>农业企业数量少且缺乏自主创新和研发人才。</w:t>
      </w:r>
    </w:p>
    <w:p>
      <w:pPr>
        <w:pStyle w:val="5"/>
        <w:ind w:firstLine="562"/>
        <w:rPr>
          <w:rFonts w:ascii="仿宋" w:hAnsi="仿宋"/>
          <w:bCs w:val="0"/>
          <w:color w:val="171717"/>
        </w:rPr>
      </w:pPr>
      <w:r>
        <w:rPr>
          <w:rFonts w:ascii="仿宋" w:hAnsi="仿宋"/>
          <w:bCs w:val="0"/>
          <w:color w:val="171717"/>
        </w:rPr>
        <w:t>4.</w:t>
      </w:r>
      <w:r>
        <w:rPr>
          <w:rFonts w:hint="eastAsia" w:ascii="仿宋" w:hAnsi="仿宋"/>
          <w:bCs w:val="0"/>
          <w:color w:val="171717"/>
        </w:rPr>
        <w:t>产业化经营水平偏低</w:t>
      </w:r>
    </w:p>
    <w:p>
      <w:pPr>
        <w:ind w:firstLine="560"/>
      </w:pPr>
      <w:r>
        <w:rPr>
          <w:rFonts w:hint="eastAsia"/>
        </w:rPr>
        <w:t>兴安县产业化经营水平不高，产业链条较短，精深加工不够，企业缺大少强。目前仍是以农民单家独户的传统种植模式为主，农产品以大宗、中低端的鲜食产品为主，市场竞争力较弱，有影响力的品牌屈指可数。</w:t>
      </w:r>
    </w:p>
    <w:p>
      <w:pPr>
        <w:ind w:firstLine="560"/>
        <w:rPr>
          <w:rFonts w:ascii="宋体" w:hAnsi="宋体" w:cs="宋体"/>
          <w:color w:val="FF0000"/>
        </w:rPr>
      </w:pPr>
    </w:p>
    <w:p>
      <w:pPr>
        <w:pStyle w:val="4"/>
        <w:spacing w:before="156" w:after="156"/>
        <w:ind w:firstLine="452"/>
      </w:pPr>
      <w:bookmarkStart w:id="59" w:name="_Toc3541091"/>
      <w:r>
        <w:rPr>
          <w:rFonts w:hint="eastAsia"/>
        </w:rPr>
        <w:t>（三）机遇分析（Opportunities）</w:t>
      </w:r>
      <w:bookmarkEnd w:id="59"/>
    </w:p>
    <w:p>
      <w:pPr>
        <w:ind w:left="560" w:firstLine="0" w:firstLineChars="0"/>
        <w:rPr>
          <w:rFonts w:ascii="仿宋" w:hAnsi="仿宋"/>
          <w:b/>
          <w:szCs w:val="28"/>
        </w:rPr>
      </w:pPr>
      <w:r>
        <w:rPr>
          <w:rFonts w:hint="eastAsia" w:ascii="仿宋" w:hAnsi="仿宋"/>
          <w:b/>
          <w:szCs w:val="28"/>
        </w:rPr>
        <w:t>1</w:t>
      </w:r>
      <w:r>
        <w:rPr>
          <w:rFonts w:ascii="仿宋" w:hAnsi="仿宋"/>
          <w:b/>
          <w:szCs w:val="28"/>
        </w:rPr>
        <w:t>.</w:t>
      </w:r>
      <w:r>
        <w:rPr>
          <w:rFonts w:hint="eastAsia" w:ascii="仿宋" w:hAnsi="仿宋"/>
          <w:b/>
          <w:szCs w:val="28"/>
        </w:rPr>
        <w:t>政策的</w:t>
      </w:r>
      <w:r>
        <w:rPr>
          <w:rFonts w:ascii="仿宋" w:hAnsi="仿宋"/>
          <w:b/>
          <w:szCs w:val="28"/>
        </w:rPr>
        <w:t>支持</w:t>
      </w:r>
    </w:p>
    <w:p>
      <w:pPr>
        <w:ind w:firstLine="560"/>
        <w:rPr>
          <w:b/>
          <w:bCs/>
        </w:rPr>
      </w:pPr>
      <w:r>
        <w:rPr>
          <w:rFonts w:hint="eastAsia"/>
        </w:rPr>
        <w:t>近年来，党中央、各级政府坚持把解决好</w:t>
      </w:r>
      <w:r>
        <w:rPr>
          <w:rFonts w:cs="Calibri"/>
        </w:rPr>
        <w:t>“</w:t>
      </w:r>
      <w:r>
        <w:rPr>
          <w:rFonts w:hint="eastAsia"/>
        </w:rPr>
        <w:t>三农</w:t>
      </w:r>
      <w:r>
        <w:rPr>
          <w:rFonts w:cs="Calibri"/>
        </w:rPr>
        <w:t>”</w:t>
      </w:r>
      <w:r>
        <w:rPr>
          <w:rFonts w:hint="eastAsia"/>
        </w:rPr>
        <w:t>问题作为全部工作的重中之重，不断深化农村改革，完善强农惠农富农政策，大幅增加农业投入，有力推动了传统农业向现代农业加速转变，出台了多项政策文件扶持农业与旅游融合，推进如：田园综合体、现代农业庄园、休闲农业与乡村旅游示范点、星级乡村旅游区和农家乐等休闲农业和乡村旅游品牌创建。桂林市在</w:t>
      </w:r>
      <w:r>
        <w:rPr>
          <w:rFonts w:cs="Calibri"/>
        </w:rPr>
        <w:t>“</w:t>
      </w:r>
      <w:r>
        <w:rPr>
          <w:rFonts w:hint="eastAsia"/>
        </w:rPr>
        <w:t>十三五</w:t>
      </w:r>
      <w:r>
        <w:rPr>
          <w:rFonts w:cs="Calibri"/>
        </w:rPr>
        <w:t>”</w:t>
      </w:r>
      <w:r>
        <w:rPr>
          <w:rFonts w:hint="eastAsia"/>
        </w:rPr>
        <w:t>期间大力发展高产、优质、高效、生态、安全农业，推进农业产业化经营，扶持农产品加工业和流通业，促进三产融合，鼓励农业生产经营与休闲旅游相互结合。</w:t>
      </w:r>
    </w:p>
    <w:p>
      <w:pPr>
        <w:ind w:firstLine="562"/>
        <w:rPr>
          <w:b/>
          <w:bCs/>
        </w:rPr>
      </w:pPr>
    </w:p>
    <w:p>
      <w:pPr>
        <w:ind w:firstLine="562"/>
        <w:rPr>
          <w:b/>
          <w:bCs/>
        </w:rPr>
      </w:pPr>
      <w:r>
        <w:rPr>
          <w:rFonts w:hint="eastAsia"/>
          <w:b/>
          <w:bCs/>
        </w:rPr>
        <w:t>2</w:t>
      </w:r>
      <w:r>
        <w:rPr>
          <w:b/>
          <w:bCs/>
        </w:rPr>
        <w:t>.</w:t>
      </w:r>
      <w:r>
        <w:rPr>
          <w:rFonts w:hint="eastAsia"/>
          <w:b/>
          <w:bCs/>
        </w:rPr>
        <w:t>消费者结构升级，生态、安全、养生产品越来越受到青睐</w:t>
      </w:r>
    </w:p>
    <w:p>
      <w:pPr>
        <w:ind w:firstLine="560"/>
      </w:pPr>
      <w:r>
        <w:rPr>
          <w:rFonts w:hint="eastAsia"/>
        </w:rPr>
        <w:t>如今，</w:t>
      </w:r>
      <w:r>
        <w:rPr>
          <w:rFonts w:ascii="宋体" w:hAnsi="宋体" w:cs="Calibri"/>
        </w:rPr>
        <w:t>“</w:t>
      </w:r>
      <w:r>
        <w:rPr>
          <w:rFonts w:hint="eastAsia"/>
        </w:rPr>
        <w:t>绿色食品</w:t>
      </w:r>
      <w:r>
        <w:rPr>
          <w:rFonts w:ascii="宋体" w:hAnsi="宋体" w:cs="Calibri"/>
        </w:rPr>
        <w:t>”</w:t>
      </w:r>
      <w:r>
        <w:rPr>
          <w:rFonts w:hint="eastAsia"/>
        </w:rPr>
        <w:t>、</w:t>
      </w:r>
      <w:r>
        <w:rPr>
          <w:rFonts w:ascii="宋体" w:hAnsi="宋体" w:cs="Calibri"/>
        </w:rPr>
        <w:t>“</w:t>
      </w:r>
      <w:r>
        <w:rPr>
          <w:rFonts w:hint="eastAsia"/>
        </w:rPr>
        <w:t>有机食品</w:t>
      </w:r>
      <w:r>
        <w:rPr>
          <w:rFonts w:ascii="宋体" w:hAnsi="宋体" w:cs="Calibri"/>
        </w:rPr>
        <w:t>”</w:t>
      </w:r>
      <w:r>
        <w:rPr>
          <w:rFonts w:hint="eastAsia"/>
        </w:rPr>
        <w:t>、</w:t>
      </w:r>
      <w:r>
        <w:rPr>
          <w:rFonts w:ascii="宋体" w:hAnsi="宋体" w:cs="Calibri"/>
        </w:rPr>
        <w:t>“</w:t>
      </w:r>
      <w:r>
        <w:rPr>
          <w:rFonts w:hint="eastAsia"/>
        </w:rPr>
        <w:t>富</w:t>
      </w:r>
      <w:r>
        <w:rPr>
          <w:rFonts w:hint="eastAsia"/>
          <w:bCs/>
        </w:rPr>
        <w:t>硒农产品</w:t>
      </w:r>
      <w:r>
        <w:rPr>
          <w:rFonts w:ascii="宋体" w:hAnsi="宋体" w:cs="Calibri"/>
        </w:rPr>
        <w:t>”</w:t>
      </w:r>
      <w:r>
        <w:rPr>
          <w:rFonts w:hint="eastAsia"/>
        </w:rPr>
        <w:t>等日益为人们所认识，消费者对农产品需求的焦点已经转移到对产品种类、新鲜度、质量、安全、养生等高层次的追求方面。人们对产品品质的要求越来越高，对新鲜绿色农产品的需求呈上升趋势。</w:t>
      </w:r>
    </w:p>
    <w:p>
      <w:pPr>
        <w:ind w:firstLine="562"/>
        <w:rPr>
          <w:b/>
          <w:bCs/>
        </w:rPr>
      </w:pPr>
      <w:r>
        <w:rPr>
          <w:rFonts w:hint="eastAsia"/>
          <w:b/>
          <w:bCs/>
        </w:rPr>
        <w:t>3</w:t>
      </w:r>
      <w:r>
        <w:rPr>
          <w:b/>
          <w:bCs/>
        </w:rPr>
        <w:t>.</w:t>
      </w:r>
      <w:r>
        <w:rPr>
          <w:rFonts w:hint="eastAsia"/>
          <w:b/>
          <w:bCs/>
        </w:rPr>
        <w:t>国内外市场深度融合</w:t>
      </w:r>
    </w:p>
    <w:p>
      <w:pPr>
        <w:ind w:firstLine="560"/>
      </w:pPr>
      <w:r>
        <w:rPr>
          <w:rFonts w:hint="eastAsia"/>
        </w:rPr>
        <w:t>近年来，随着</w:t>
      </w:r>
      <w:r>
        <w:rPr>
          <w:rFonts w:cs="Calibri" w:asciiTheme="minorEastAsia" w:hAnsiTheme="minorEastAsia" w:eastAsiaTheme="minorEastAsia"/>
        </w:rPr>
        <w:t>“</w:t>
      </w:r>
      <w:r>
        <w:rPr>
          <w:rFonts w:hint="eastAsia"/>
        </w:rPr>
        <w:t>一带一路</w:t>
      </w:r>
      <w:r>
        <w:rPr>
          <w:rFonts w:cs="Calibri" w:asciiTheme="minorEastAsia" w:hAnsiTheme="minorEastAsia" w:eastAsiaTheme="minorEastAsia"/>
        </w:rPr>
        <w:t>”</w:t>
      </w:r>
      <w:r>
        <w:rPr>
          <w:rFonts w:hint="eastAsia"/>
        </w:rPr>
        <w:t>建设不断推进，</w:t>
      </w:r>
      <w:r>
        <w:rPr>
          <w:rFonts w:ascii="宋体" w:hAnsi="宋体" w:cs="Calibri"/>
        </w:rPr>
        <w:t>“</w:t>
      </w:r>
      <w:r>
        <w:rPr>
          <w:rFonts w:hint="eastAsia"/>
        </w:rPr>
        <w:t>中国－东盟</w:t>
      </w:r>
      <w:r>
        <w:rPr>
          <w:rFonts w:cs="Calibri" w:asciiTheme="minorEastAsia" w:hAnsiTheme="minorEastAsia" w:eastAsiaTheme="minorEastAsia"/>
        </w:rPr>
        <w:t>”</w:t>
      </w:r>
      <w:r>
        <w:rPr>
          <w:rFonts w:hint="eastAsia"/>
        </w:rPr>
        <w:t>自由贸易区建设步伐加快，</w:t>
      </w:r>
      <w:r>
        <w:rPr>
          <w:rFonts w:cs="Calibri" w:asciiTheme="minorEastAsia" w:hAnsiTheme="minorEastAsia" w:eastAsiaTheme="minorEastAsia"/>
        </w:rPr>
        <w:t>“</w:t>
      </w:r>
      <w:r>
        <w:rPr>
          <w:rFonts w:hint="eastAsia"/>
        </w:rPr>
        <w:t>一轴两翼</w:t>
      </w:r>
      <w:r>
        <w:rPr>
          <w:rFonts w:cs="Calibri" w:asciiTheme="minorEastAsia" w:hAnsiTheme="minorEastAsia" w:eastAsiaTheme="minorEastAsia"/>
        </w:rPr>
        <w:t>”</w:t>
      </w:r>
      <w:r>
        <w:rPr>
          <w:rFonts w:hint="eastAsia"/>
        </w:rPr>
        <w:t>区域经济合作战略深入实施，</w:t>
      </w:r>
      <w:r>
        <w:rPr>
          <w:rFonts w:cs="Calibri" w:asciiTheme="minorEastAsia" w:hAnsiTheme="minorEastAsia" w:eastAsiaTheme="minorEastAsia"/>
        </w:rPr>
        <w:t>“</w:t>
      </w:r>
      <w:r>
        <w:rPr>
          <w:rFonts w:hint="eastAsia"/>
        </w:rPr>
        <w:t>两廊一圈</w:t>
      </w:r>
      <w:r>
        <w:rPr>
          <w:rFonts w:cs="Calibri" w:asciiTheme="minorEastAsia" w:hAnsiTheme="minorEastAsia" w:eastAsiaTheme="minorEastAsia"/>
        </w:rPr>
        <w:t>”</w:t>
      </w:r>
      <w:r>
        <w:rPr>
          <w:rFonts w:hint="eastAsia"/>
        </w:rPr>
        <w:t>区域合作、大湄公河次区域合作、泛珠三角区域合作、西南六省区市区域合作不断深化，广西和桂林的经济发展势头良好，这些给兴安县农业发展带来了更大的发展机遇。</w:t>
      </w:r>
    </w:p>
    <w:p>
      <w:pPr>
        <w:ind w:firstLine="560"/>
      </w:pPr>
    </w:p>
    <w:p>
      <w:pPr>
        <w:pStyle w:val="4"/>
        <w:spacing w:before="156" w:after="156"/>
        <w:ind w:firstLine="452"/>
      </w:pPr>
      <w:r>
        <w:rPr>
          <w:rFonts w:hint="eastAsia"/>
        </w:rPr>
        <w:t>（四）威胁分析（Treats）</w:t>
      </w:r>
    </w:p>
    <w:p>
      <w:pPr>
        <w:ind w:firstLine="562"/>
        <w:rPr>
          <w:b/>
          <w:bCs/>
        </w:rPr>
      </w:pPr>
      <w:r>
        <w:rPr>
          <w:rFonts w:hint="eastAsia"/>
          <w:b/>
          <w:bCs/>
        </w:rPr>
        <w:t>1</w:t>
      </w:r>
      <w:r>
        <w:rPr>
          <w:b/>
          <w:bCs/>
        </w:rPr>
        <w:t>.</w:t>
      </w:r>
      <w:r>
        <w:rPr>
          <w:rFonts w:hint="eastAsia"/>
          <w:b/>
          <w:bCs/>
        </w:rPr>
        <w:t>周边地区的竞争</w:t>
      </w:r>
    </w:p>
    <w:p>
      <w:pPr>
        <w:ind w:firstLine="560"/>
      </w:pPr>
      <w:r>
        <w:rPr>
          <w:rFonts w:hint="eastAsia"/>
        </w:rPr>
        <w:t>目前，兴安县主导产品与周边地区的同质性较强，而且产品以中低端居多；产品在品质、质量标准、科技含量等方面与周边地区差异性较小，没有突出兴安特色、打响兴安农业品牌，容易与周边地区形成无序竞争。</w:t>
      </w:r>
    </w:p>
    <w:p>
      <w:pPr>
        <w:ind w:firstLine="562"/>
        <w:rPr>
          <w:b/>
          <w:bCs/>
        </w:rPr>
      </w:pPr>
      <w:r>
        <w:rPr>
          <w:b/>
          <w:bCs/>
        </w:rPr>
        <w:t>2.</w:t>
      </w:r>
      <w:r>
        <w:rPr>
          <w:rFonts w:hint="eastAsia"/>
          <w:b/>
          <w:bCs/>
        </w:rPr>
        <w:t>市场风险</w:t>
      </w:r>
    </w:p>
    <w:p>
      <w:pPr>
        <w:ind w:firstLine="560"/>
      </w:pPr>
      <w:r>
        <w:rPr>
          <w:rFonts w:hint="eastAsia"/>
        </w:rPr>
        <w:t>兴安县农业组织化程度较低、市场信息流通渠道缺乏、农业生产缺乏相应的保障措施等因素导致农民应对市场变化的能力不足，容易盲目跟风，出现供需不平衡、增产不增收等市场风险。加上随着国内国际农产品市场的全面开放，农产品的生产和销售都会受国内外市场的直接影响，加剧市场风险。</w:t>
      </w:r>
    </w:p>
    <w:p>
      <w:pPr>
        <w:ind w:firstLine="562"/>
        <w:rPr>
          <w:b/>
        </w:rPr>
      </w:pPr>
    </w:p>
    <w:p>
      <w:pPr>
        <w:ind w:firstLine="562"/>
        <w:rPr>
          <w:b/>
        </w:rPr>
      </w:pPr>
      <w:r>
        <w:rPr>
          <w:b/>
        </w:rPr>
        <w:t>3.</w:t>
      </w:r>
      <w:r>
        <w:rPr>
          <w:rFonts w:hint="eastAsia"/>
          <w:b/>
        </w:rPr>
        <w:t>病虫害影响大</w:t>
      </w:r>
    </w:p>
    <w:p>
      <w:pPr>
        <w:ind w:firstLine="560"/>
        <w:rPr>
          <w:rFonts w:ascii="宋体" w:hAnsi="宋体" w:cs="宋体"/>
          <w:szCs w:val="28"/>
        </w:rPr>
      </w:pPr>
      <w:r>
        <w:rPr>
          <w:rFonts w:hint="eastAsia"/>
        </w:rPr>
        <w:t>兴安县</w:t>
      </w:r>
      <w:r>
        <w:t>主导产品主要以</w:t>
      </w:r>
      <w:r>
        <w:rPr>
          <w:rFonts w:hint="eastAsia"/>
        </w:rPr>
        <w:t>葡萄、银杏、甜玉米、柑桔、食用菌</w:t>
      </w:r>
      <w:r>
        <w:t>为主，</w:t>
      </w:r>
      <w:r>
        <w:rPr>
          <w:rFonts w:hint="eastAsia"/>
        </w:rPr>
        <w:t>葡萄的病害主要有黑痘病、霜霉病、炭疽病、白粉病等，虫害主要有葡萄斑叶蝉、绿盲蝽、烟蓟马、叶螨、</w:t>
      </w:r>
      <w:r>
        <w:rPr>
          <w:rFonts w:hint="eastAsia"/>
          <w:szCs w:val="28"/>
        </w:rPr>
        <w:t>斜纹夜蛾</w:t>
      </w:r>
      <w:r>
        <w:rPr>
          <w:rFonts w:hint="eastAsia"/>
        </w:rPr>
        <w:t>等；银杏的病害主要有</w:t>
      </w:r>
      <w:r>
        <w:rPr>
          <w:rFonts w:hint="eastAsia" w:ascii="宋体" w:hAnsi="宋体" w:cs="宋体"/>
          <w:szCs w:val="28"/>
        </w:rPr>
        <w:t>茎腐病、猝倒病、枯叶病、霉烂病等</w:t>
      </w:r>
      <w:r>
        <w:rPr>
          <w:rFonts w:ascii="宋体" w:hAnsi="宋体" w:cs="宋体"/>
          <w:szCs w:val="28"/>
        </w:rPr>
        <w:t>；</w:t>
      </w:r>
      <w:r>
        <w:rPr>
          <w:rFonts w:hint="eastAsia" w:ascii="宋体" w:hAnsi="宋体" w:cs="宋体"/>
          <w:szCs w:val="28"/>
        </w:rPr>
        <w:t>玉米病虫害有玉米螟、棉铃虫、蚜虫、</w:t>
      </w:r>
      <w:r>
        <w:rPr>
          <w:rFonts w:hint="eastAsia"/>
          <w:szCs w:val="28"/>
        </w:rPr>
        <w:t>草地贪夜蛾、斜纹夜蛾</w:t>
      </w:r>
      <w:r>
        <w:rPr>
          <w:rFonts w:hint="eastAsia" w:ascii="宋体" w:hAnsi="宋体" w:cs="宋体"/>
          <w:szCs w:val="28"/>
        </w:rPr>
        <w:t>等；</w:t>
      </w:r>
      <w:r>
        <w:t>柑桔</w:t>
      </w:r>
      <w:r>
        <w:rPr>
          <w:rFonts w:hint="eastAsia"/>
        </w:rPr>
        <w:t>的病害主要有黄龙病、松材线虫病、溃疡病、疮痂病、炭疽病</w:t>
      </w:r>
      <w:r>
        <w:rPr>
          <w:rFonts w:hint="eastAsia" w:ascii="宋体" w:hAnsi="宋体" w:cs="宋体"/>
          <w:szCs w:val="28"/>
        </w:rPr>
        <w:t>、树脂病</w:t>
      </w:r>
      <w:r>
        <w:rPr>
          <w:rFonts w:hint="eastAsia"/>
        </w:rPr>
        <w:t>等，黄龙病是世界柑桔生产上的毁灭性病害，</w:t>
      </w:r>
      <w:r>
        <w:rPr>
          <w:rFonts w:hint="eastAsia" w:ascii="宋体" w:hAnsi="宋体" w:cs="宋体"/>
          <w:szCs w:val="28"/>
        </w:rPr>
        <w:t>被称为柑桔“癌症”，无法根治，种植户“谈黄色变”。黄龙病有两个特点：一是无药可治，柑桔树感染后只能砍除。二是极易传播，由柑桔木虱吸食病树后带毒传播，传播速度非常快；</w:t>
      </w:r>
      <w:r>
        <w:t>食用菌</w:t>
      </w:r>
      <w:r>
        <w:rPr>
          <w:rFonts w:hint="eastAsia" w:ascii="宋体" w:hAnsi="宋体" w:cs="宋体"/>
          <w:szCs w:val="28"/>
        </w:rPr>
        <w:t>的主要害虫有白蚁、菌蚊、菇蝇、跳虫、螨类等。</w:t>
      </w:r>
      <w:r>
        <w:rPr>
          <w:rFonts w:ascii="宋体" w:hAnsi="宋体" w:cs="宋体"/>
          <w:szCs w:val="28"/>
        </w:rPr>
        <w:t>这些病害较为普遍，对</w:t>
      </w:r>
      <w:r>
        <w:rPr>
          <w:rFonts w:hint="eastAsia" w:ascii="宋体" w:hAnsi="宋体" w:cs="宋体"/>
          <w:szCs w:val="28"/>
        </w:rPr>
        <w:t>产品</w:t>
      </w:r>
      <w:r>
        <w:rPr>
          <w:rFonts w:ascii="宋体" w:hAnsi="宋体" w:cs="宋体"/>
          <w:szCs w:val="28"/>
        </w:rPr>
        <w:t>的影响大，容易给带来损失。</w:t>
      </w:r>
      <w:r>
        <w:rPr>
          <w:rFonts w:hint="eastAsia" w:ascii="宋体" w:hAnsi="宋体" w:cs="宋体"/>
          <w:szCs w:val="28"/>
        </w:rPr>
        <w:t>防治</w:t>
      </w:r>
      <w:r>
        <w:rPr>
          <w:rFonts w:ascii="宋体" w:hAnsi="宋体" w:cs="宋体"/>
          <w:szCs w:val="28"/>
        </w:rPr>
        <w:t>病虫害主要依靠</w:t>
      </w:r>
      <w:r>
        <w:rPr>
          <w:rFonts w:hint="eastAsia" w:ascii="宋体" w:hAnsi="宋体" w:cs="宋体"/>
          <w:szCs w:val="28"/>
        </w:rPr>
        <w:t>农药</w:t>
      </w:r>
      <w:r>
        <w:rPr>
          <w:rFonts w:ascii="宋体" w:hAnsi="宋体" w:cs="宋体"/>
          <w:szCs w:val="28"/>
        </w:rPr>
        <w:t>，现在倡导健康绿色生产，减少使用农药量，这将</w:t>
      </w:r>
      <w:r>
        <w:rPr>
          <w:rFonts w:hint="eastAsia" w:ascii="宋体" w:hAnsi="宋体" w:cs="宋体"/>
          <w:szCs w:val="28"/>
        </w:rPr>
        <w:t>会</w:t>
      </w:r>
      <w:r>
        <w:rPr>
          <w:rFonts w:ascii="宋体" w:hAnsi="宋体" w:cs="宋体"/>
          <w:szCs w:val="28"/>
        </w:rPr>
        <w:t>病虫害的防治带来一定的</w:t>
      </w:r>
      <w:r>
        <w:rPr>
          <w:rFonts w:hint="eastAsia" w:ascii="宋体" w:hAnsi="宋体" w:cs="宋体"/>
          <w:szCs w:val="28"/>
        </w:rPr>
        <w:t>影响</w:t>
      </w:r>
      <w:r>
        <w:rPr>
          <w:rFonts w:ascii="宋体" w:hAnsi="宋体" w:cs="宋体"/>
          <w:szCs w:val="28"/>
        </w:rPr>
        <w:t>。</w:t>
      </w:r>
    </w:p>
    <w:p>
      <w:pPr>
        <w:pStyle w:val="2"/>
      </w:pPr>
      <w:r>
        <w:br w:type="page"/>
      </w:r>
      <w:r>
        <w:fldChar w:fldCharType="begin"/>
      </w:r>
      <w:r>
        <w:instrText xml:space="preserve"> HYPERLINK \l "_Toc529132027" </w:instrText>
      </w:r>
      <w:r>
        <w:fldChar w:fldCharType="separate"/>
      </w:r>
      <w:bookmarkStart w:id="60" w:name="_Toc18417397"/>
      <w:bookmarkStart w:id="61" w:name="_Toc21594842"/>
      <w:r>
        <w:rPr>
          <w:rFonts w:hint="eastAsia"/>
        </w:rPr>
        <w:t>第四章</w:t>
      </w:r>
      <w:r>
        <w:t xml:space="preserve"> </w:t>
      </w:r>
      <w:r>
        <w:rPr>
          <w:rFonts w:hint="eastAsia"/>
        </w:rPr>
        <w:t>发展思路</w:t>
      </w:r>
      <w:bookmarkEnd w:id="60"/>
      <w:bookmarkEnd w:id="61"/>
      <w:r>
        <w:rPr>
          <w:rFonts w:hint="eastAsia"/>
        </w:rPr>
        <w:fldChar w:fldCharType="end"/>
      </w:r>
    </w:p>
    <w:p>
      <w:pPr>
        <w:pStyle w:val="3"/>
        <w:spacing w:before="0" w:after="0"/>
        <w:ind w:firstLine="643"/>
        <w:rPr>
          <w:rFonts w:ascii="宋体" w:hAnsi="宋体" w:cs="宋体"/>
          <w:color w:val="000000"/>
        </w:rPr>
      </w:pPr>
      <w:bookmarkStart w:id="62" w:name="_Toc510461932"/>
      <w:bookmarkStart w:id="63" w:name="_Toc21594843"/>
      <w:bookmarkStart w:id="64" w:name="_Toc18417398"/>
      <w:bookmarkStart w:id="65" w:name="_Toc529131804"/>
      <w:r>
        <w:rPr>
          <w:rFonts w:hint="eastAsia" w:ascii="宋体" w:hAnsi="宋体" w:cs="宋体"/>
          <w:color w:val="000000"/>
        </w:rPr>
        <w:t>一、指导思想</w:t>
      </w:r>
      <w:bookmarkEnd w:id="62"/>
      <w:bookmarkEnd w:id="63"/>
      <w:bookmarkEnd w:id="64"/>
      <w:bookmarkEnd w:id="65"/>
    </w:p>
    <w:p>
      <w:pPr>
        <w:ind w:firstLine="560"/>
        <w:rPr>
          <w:color w:val="000000"/>
        </w:rPr>
      </w:pPr>
      <w:bookmarkStart w:id="66" w:name="_Toc510461933"/>
      <w:r>
        <w:rPr>
          <w:rFonts w:hint="eastAsia"/>
          <w:color w:val="000000"/>
        </w:rPr>
        <w:t>全面贯彻党的十九大精神、习近平新时代中国特色社会主义思想以及视察广西时重要讲话精神，全力实施乡村振兴战略，围绕《特色农产品优势区建设规划纲要》建设要求。立足产业基础和比较优势，坚持以市场需求为导向，以绿色发展为底线，以农业结构战略性调整为主线，突出特色，大力发展</w:t>
      </w:r>
      <w:r>
        <w:rPr>
          <w:rFonts w:hint="eastAsia" w:ascii="宋体" w:hAnsi="宋体" w:cs="宋体"/>
          <w:bCs/>
          <w:color w:val="000000"/>
          <w:szCs w:val="28"/>
        </w:rPr>
        <w:t>葡萄、银杏、甜玉米、柑桔、食用菌</w:t>
      </w:r>
      <w:r>
        <w:rPr>
          <w:rFonts w:hint="eastAsia"/>
          <w:color w:val="000000"/>
        </w:rPr>
        <w:t>生产。以标准化基地生产、产业化龙头企业带动、品牌化产品营销为关键，提高产业效益和竞争力，探索小农户和现代农业发展有机衔接体制机制，加快构建现代农业产业体系、生产体系、经营体系三大体系。建成产业特色鲜明、产品质量安全、品牌效应突出、市场营销完善、生产方式绿色、经济效益显著、辐射带动有力、脱贫帮扶精准、体制机制创新有活力的特色农产品优势区。</w:t>
      </w:r>
    </w:p>
    <w:p>
      <w:pPr>
        <w:pStyle w:val="3"/>
        <w:spacing w:before="0" w:after="0"/>
        <w:ind w:firstLine="643"/>
        <w:rPr>
          <w:rFonts w:ascii="宋体" w:hAnsi="宋体" w:cs="宋体"/>
          <w:color w:val="000000"/>
        </w:rPr>
      </w:pPr>
      <w:bookmarkStart w:id="67" w:name="_Toc18417399"/>
      <w:bookmarkStart w:id="68" w:name="_Toc529131805"/>
      <w:bookmarkStart w:id="69" w:name="_Toc21594844"/>
      <w:r>
        <w:rPr>
          <w:rFonts w:hint="eastAsia" w:ascii="宋体" w:hAnsi="宋体" w:cs="宋体"/>
          <w:color w:val="000000"/>
        </w:rPr>
        <w:t>二</w:t>
      </w:r>
      <w:r>
        <w:rPr>
          <w:rFonts w:ascii="宋体" w:hAnsi="宋体" w:cs="宋体"/>
          <w:color w:val="000000"/>
        </w:rPr>
        <w:t>、</w:t>
      </w:r>
      <w:r>
        <w:rPr>
          <w:rFonts w:hint="eastAsia" w:ascii="宋体" w:hAnsi="宋体" w:cs="宋体"/>
          <w:color w:val="000000"/>
        </w:rPr>
        <w:t>基本原则</w:t>
      </w:r>
      <w:bookmarkEnd w:id="66"/>
      <w:bookmarkEnd w:id="67"/>
      <w:bookmarkEnd w:id="68"/>
      <w:bookmarkEnd w:id="69"/>
      <w:bookmarkStart w:id="70" w:name="_Toc510461934"/>
    </w:p>
    <w:p>
      <w:pPr>
        <w:pStyle w:val="4"/>
        <w:spacing w:before="156" w:after="156"/>
        <w:ind w:firstLine="452"/>
      </w:pPr>
      <w:r>
        <w:rPr>
          <w:rFonts w:hint="eastAsia"/>
        </w:rPr>
        <w:t>（一）政府引导，市场运作</w:t>
      </w:r>
      <w:bookmarkEnd w:id="70"/>
    </w:p>
    <w:p>
      <w:pPr>
        <w:ind w:firstLine="560"/>
        <w:rPr>
          <w:color w:val="000000"/>
        </w:rPr>
      </w:pPr>
      <w:bookmarkStart w:id="71" w:name="_Toc510461935"/>
      <w:r>
        <w:rPr>
          <w:rFonts w:hint="eastAsia"/>
          <w:color w:val="000000"/>
        </w:rPr>
        <w:t>政府要发挥的作用是“更好”而不是“更多”，是加强引导而不是直接参与，做好政府引导、企业主体、机构跟进、市场运作。坚持政府政策扶持，从兴安县区域经济发展实际出发，因地制宜编制兴安县优势区规划，出台扶持政策措施，整合农业综合开发、土地整理、农田水利、交通、乡村旅游等多方资源，形成凝心聚力的良好氛围，合力推进蔬菜产业提档升级、做大做强，使之成为引领农业农村供给侧结构性改革的新抓手。</w:t>
      </w:r>
    </w:p>
    <w:p>
      <w:pPr>
        <w:pStyle w:val="4"/>
        <w:spacing w:before="156" w:after="156"/>
        <w:ind w:firstLine="452"/>
      </w:pPr>
      <w:r>
        <w:rPr>
          <w:rFonts w:hint="eastAsia"/>
        </w:rPr>
        <w:t>（二）科技创新，提高档次</w:t>
      </w:r>
      <w:bookmarkEnd w:id="71"/>
    </w:p>
    <w:p>
      <w:pPr>
        <w:ind w:firstLine="560"/>
        <w:rPr>
          <w:rFonts w:ascii="宋体" w:hAnsi="宋体" w:cs="宋体"/>
          <w:color w:val="000000"/>
          <w:szCs w:val="28"/>
        </w:rPr>
      </w:pPr>
      <w:r>
        <w:rPr>
          <w:rFonts w:hint="eastAsia" w:ascii="宋体" w:hAnsi="宋体" w:cs="宋体"/>
          <w:color w:val="000000"/>
          <w:szCs w:val="28"/>
        </w:rPr>
        <w:t>加快科技创新和先进技术集成与应用，推动</w:t>
      </w:r>
      <w:r>
        <w:rPr>
          <w:rFonts w:hint="eastAsia" w:ascii="宋体" w:hAnsi="宋体" w:cs="宋体"/>
          <w:bCs/>
          <w:color w:val="000000"/>
          <w:szCs w:val="28"/>
        </w:rPr>
        <w:t>葡萄、银杏、甜玉米、柑桔、食用菌</w:t>
      </w:r>
      <w:r>
        <w:rPr>
          <w:rFonts w:hint="eastAsia" w:ascii="宋体" w:hAnsi="宋体" w:cs="宋体"/>
          <w:color w:val="000000"/>
          <w:szCs w:val="28"/>
        </w:rPr>
        <w:t>产业转型升级。围绕</w:t>
      </w:r>
      <w:r>
        <w:rPr>
          <w:rFonts w:hint="eastAsia" w:ascii="宋体" w:hAnsi="宋体" w:cs="宋体"/>
          <w:bCs/>
          <w:color w:val="000000"/>
          <w:szCs w:val="28"/>
        </w:rPr>
        <w:t>葡萄、银杏、甜玉米、柑桔、食用菌</w:t>
      </w:r>
      <w:r>
        <w:rPr>
          <w:rFonts w:hint="eastAsia" w:ascii="宋体" w:hAnsi="宋体" w:cs="宋体"/>
          <w:color w:val="000000"/>
          <w:szCs w:val="28"/>
        </w:rPr>
        <w:t>产业品种改良、品质改进、设施装备、科技成果展示，吸引国内外科研院所、大专院校、龙头企业等入驻兴安，搭建科技研发与示范推广平台，推进生产设施、示范技术、质量管理标准化，建设全程绿色的标准化生产示范基地，优化</w:t>
      </w:r>
      <w:r>
        <w:rPr>
          <w:rFonts w:hint="eastAsia" w:ascii="宋体" w:hAnsi="宋体" w:cs="宋体"/>
          <w:bCs/>
          <w:color w:val="000000"/>
          <w:szCs w:val="28"/>
        </w:rPr>
        <w:t>葡萄、银杏、甜玉米、柑桔、食用菌</w:t>
      </w:r>
      <w:r>
        <w:rPr>
          <w:rFonts w:hint="eastAsia" w:ascii="宋体" w:hAnsi="宋体" w:cs="宋体"/>
          <w:color w:val="000000"/>
          <w:szCs w:val="28"/>
        </w:rPr>
        <w:t>产业科技研发硬件条件，加速农业科技成果转化。对</w:t>
      </w:r>
      <w:r>
        <w:rPr>
          <w:rFonts w:hint="eastAsia" w:ascii="宋体" w:hAnsi="宋体" w:cs="宋体"/>
          <w:bCs/>
          <w:color w:val="000000"/>
          <w:szCs w:val="28"/>
        </w:rPr>
        <w:t>葡萄、银杏、甜玉米、柑桔、食用菌</w:t>
      </w:r>
      <w:r>
        <w:rPr>
          <w:rFonts w:hint="eastAsia" w:ascii="宋体" w:hAnsi="宋体" w:cs="宋体"/>
          <w:color w:val="000000"/>
          <w:szCs w:val="28"/>
        </w:rPr>
        <w:t>种植生产、深加工、冷藏仓储、营销等环节进行标准化管理和评价，引领特色农产品产业化、规模化、品牌化发展。</w:t>
      </w:r>
    </w:p>
    <w:p>
      <w:pPr>
        <w:pStyle w:val="4"/>
        <w:spacing w:before="156" w:after="156"/>
        <w:ind w:firstLine="452"/>
      </w:pPr>
      <w:bookmarkStart w:id="72" w:name="_Toc510461936"/>
      <w:r>
        <w:rPr>
          <w:rFonts w:hint="eastAsia"/>
        </w:rPr>
        <w:t>（三）主体带动，品牌延伸</w:t>
      </w:r>
      <w:bookmarkEnd w:id="72"/>
    </w:p>
    <w:p>
      <w:pPr>
        <w:ind w:firstLine="560"/>
        <w:rPr>
          <w:rFonts w:ascii="宋体" w:hAnsi="宋体" w:cs="宋体"/>
          <w:color w:val="000000"/>
        </w:rPr>
      </w:pPr>
      <w:bookmarkStart w:id="73" w:name="_Toc510461937"/>
      <w:r>
        <w:rPr>
          <w:rFonts w:ascii="宋体" w:hAnsi="宋体" w:cs="宋体"/>
          <w:color w:val="000000"/>
        </w:rPr>
        <w:t>兴安自然条件优越，物产丰富</w:t>
      </w:r>
      <w:r>
        <w:rPr>
          <w:rFonts w:hint="eastAsia" w:ascii="宋体" w:hAnsi="宋体" w:cs="宋体"/>
          <w:color w:val="000000"/>
        </w:rPr>
        <w:t>，整合兴安现有的</w:t>
      </w:r>
      <w:r>
        <w:rPr>
          <w:rFonts w:hint="eastAsia" w:ascii="宋体" w:hAnsi="宋体" w:cs="宋体"/>
          <w:bCs/>
          <w:color w:val="000000"/>
          <w:szCs w:val="28"/>
        </w:rPr>
        <w:t>葡萄、银杏、甜玉米、柑桔、食用菌</w:t>
      </w:r>
      <w:r>
        <w:rPr>
          <w:rFonts w:hint="eastAsia" w:ascii="宋体" w:hAnsi="宋体" w:cs="宋体"/>
          <w:color w:val="000000"/>
        </w:rPr>
        <w:t>产地，着力提高良种化、标准化、规模化、设施化、品牌化、产业化水平。根据资源禀赋和产业基础，突出区域、企业和产品特色，将资源向优势区、品牌企业、品牌产品集聚，辐射带动新型经营主体集群发展，提升兴安</w:t>
      </w:r>
      <w:r>
        <w:rPr>
          <w:rFonts w:hint="eastAsia" w:ascii="宋体" w:hAnsi="宋体" w:cs="宋体"/>
          <w:bCs/>
          <w:color w:val="000000"/>
          <w:szCs w:val="28"/>
        </w:rPr>
        <w:t>葡萄、银杏、甜玉米、柑桔、食用菌</w:t>
      </w:r>
      <w:r>
        <w:rPr>
          <w:rFonts w:hint="eastAsia" w:ascii="宋体" w:hAnsi="宋体" w:cs="宋体"/>
          <w:color w:val="000000"/>
        </w:rPr>
        <w:t>品牌的市场知名度、美誉度，打造一个具有更高市场占有率的兴安</w:t>
      </w:r>
      <w:r>
        <w:rPr>
          <w:rFonts w:hint="eastAsia" w:ascii="宋体" w:hAnsi="宋体" w:cs="宋体"/>
          <w:bCs/>
          <w:color w:val="000000"/>
          <w:szCs w:val="28"/>
        </w:rPr>
        <w:t>葡萄、银杏、甜玉米、柑桔、食用菌</w:t>
      </w:r>
      <w:r>
        <w:rPr>
          <w:rFonts w:hint="eastAsia" w:ascii="宋体" w:hAnsi="宋体" w:cs="宋体"/>
          <w:color w:val="000000"/>
        </w:rPr>
        <w:t>品牌。</w:t>
      </w:r>
    </w:p>
    <w:p>
      <w:pPr>
        <w:pStyle w:val="4"/>
        <w:spacing w:before="156" w:after="156"/>
        <w:ind w:firstLine="452"/>
      </w:pPr>
      <w:r>
        <w:rPr>
          <w:rFonts w:hint="eastAsia"/>
        </w:rPr>
        <w:t>（四）三产融合，促进增收</w:t>
      </w:r>
      <w:bookmarkEnd w:id="73"/>
    </w:p>
    <w:p>
      <w:pPr>
        <w:ind w:firstLine="560"/>
        <w:rPr>
          <w:rFonts w:ascii="宋体" w:hAnsi="宋体" w:cs="宋体"/>
          <w:color w:val="000000"/>
          <w:szCs w:val="28"/>
        </w:rPr>
      </w:pPr>
      <w:r>
        <w:rPr>
          <w:rFonts w:hint="eastAsia" w:ascii="宋体" w:hAnsi="宋体" w:cs="宋体"/>
          <w:color w:val="000000"/>
          <w:szCs w:val="28"/>
        </w:rPr>
        <w:t>推进农村一二三产业的技术、功能和价值融合发展，把生产、加工、销售联系起来，建立相对完善的产业链，实现</w:t>
      </w:r>
      <w:r>
        <w:rPr>
          <w:rFonts w:hint="eastAsia" w:ascii="宋体" w:hAnsi="宋体" w:cs="宋体"/>
          <w:bCs/>
          <w:color w:val="000000"/>
          <w:szCs w:val="28"/>
        </w:rPr>
        <w:t>葡萄、银杏、甜玉米、柑桔、食用菌</w:t>
      </w:r>
      <w:r>
        <w:rPr>
          <w:rFonts w:hint="eastAsia" w:ascii="宋体" w:hAnsi="宋体" w:cs="宋体"/>
          <w:color w:val="000000"/>
          <w:szCs w:val="28"/>
        </w:rPr>
        <w:t>全产业链发展，获得更大的产业链增值空间，开辟农民增收的新环节、新渠道和新途径，为农民增收创造新的增长点。同时融合推动新型农业经营主体与农户建立利益分享机制，让农户分享产业链、价值链延伸后的增值收益，实现农民持续较快增收，实现产业脱贫。</w:t>
      </w:r>
    </w:p>
    <w:p>
      <w:pPr>
        <w:pStyle w:val="4"/>
        <w:spacing w:before="156" w:after="156"/>
        <w:ind w:firstLine="452"/>
      </w:pPr>
      <w:bookmarkStart w:id="74" w:name="_Toc510461938"/>
      <w:r>
        <w:rPr>
          <w:rFonts w:hint="eastAsia"/>
        </w:rPr>
        <w:t>（五）绿色发展，区域协同</w:t>
      </w:r>
      <w:bookmarkEnd w:id="74"/>
    </w:p>
    <w:p>
      <w:pPr>
        <w:ind w:firstLine="560"/>
        <w:rPr>
          <w:rFonts w:ascii="宋体" w:hAnsi="宋体" w:cs="宋体"/>
          <w:color w:val="000000"/>
          <w:szCs w:val="28"/>
        </w:rPr>
      </w:pPr>
      <w:r>
        <w:rPr>
          <w:rFonts w:hint="eastAsia" w:ascii="宋体" w:hAnsi="宋体" w:cs="宋体"/>
          <w:color w:val="000000"/>
          <w:szCs w:val="28"/>
        </w:rPr>
        <w:t>坚持绿色食品标准和生态安全标准，深入推进科技进步，加快科技创新。推行规模化、标准化生产。秉承农业绿色发展理念，积极发展特色生态农业，同步推进西林农业生态环境改善与农业产业提质增效。逐步做强特色农业，进一步优化农业产业结构，以农产品加工业为引领，实现产业内部协调，辐射周边区域产业联动，带动</w:t>
      </w:r>
      <w:r>
        <w:rPr>
          <w:rFonts w:hint="eastAsia" w:ascii="宋体" w:hAnsi="宋体" w:cs="宋体"/>
          <w:bCs/>
          <w:color w:val="000000"/>
          <w:szCs w:val="28"/>
        </w:rPr>
        <w:t>葡萄、银杏、甜玉米、柑桔、食用菌</w:t>
      </w:r>
      <w:r>
        <w:rPr>
          <w:rFonts w:hint="eastAsia" w:ascii="宋体" w:hAnsi="宋体" w:cs="宋体"/>
          <w:color w:val="000000"/>
          <w:szCs w:val="28"/>
        </w:rPr>
        <w:t>加工、标准化种植、产品深加工、品牌、物流和社会化服务业协同发展。</w:t>
      </w:r>
    </w:p>
    <w:p>
      <w:pPr>
        <w:pStyle w:val="3"/>
        <w:spacing w:before="0" w:after="0"/>
        <w:ind w:firstLine="643"/>
        <w:rPr>
          <w:rFonts w:ascii="宋体" w:hAnsi="宋体" w:cs="宋体"/>
          <w:color w:val="000000"/>
        </w:rPr>
      </w:pPr>
      <w:bookmarkStart w:id="75" w:name="_Toc18417400"/>
      <w:bookmarkStart w:id="76" w:name="_Toc21594845"/>
      <w:bookmarkStart w:id="77" w:name="_Toc510461939"/>
      <w:bookmarkStart w:id="78" w:name="_Toc529131806"/>
      <w:r>
        <w:rPr>
          <w:rFonts w:hint="eastAsia" w:ascii="宋体" w:hAnsi="宋体" w:cs="宋体"/>
          <w:color w:val="000000"/>
        </w:rPr>
        <w:t>三、发展定位</w:t>
      </w:r>
      <w:bookmarkEnd w:id="75"/>
      <w:bookmarkEnd w:id="76"/>
      <w:bookmarkEnd w:id="77"/>
      <w:bookmarkEnd w:id="78"/>
    </w:p>
    <w:p>
      <w:pPr>
        <w:pStyle w:val="4"/>
        <w:spacing w:before="156" w:after="156"/>
        <w:ind w:firstLine="452"/>
      </w:pPr>
      <w:bookmarkStart w:id="79" w:name="_Toc510461940"/>
      <w:r>
        <w:rPr>
          <w:rFonts w:hint="eastAsia"/>
        </w:rPr>
        <w:t>（一）总体定位</w:t>
      </w:r>
      <w:bookmarkEnd w:id="79"/>
    </w:p>
    <w:p>
      <w:pPr>
        <w:ind w:firstLine="560"/>
        <w:rPr>
          <w:color w:val="000000"/>
        </w:rPr>
      </w:pPr>
      <w:r>
        <w:rPr>
          <w:rFonts w:hint="eastAsia"/>
          <w:color w:val="000000"/>
        </w:rPr>
        <w:t>以“服务城市、镇兴富民”为宗旨，以农业结构战略性调整为主线，突出特色，大力发展</w:t>
      </w:r>
      <w:r>
        <w:rPr>
          <w:rFonts w:hint="eastAsia" w:ascii="宋体" w:hAnsi="宋体" w:cs="宋体"/>
          <w:bCs/>
          <w:color w:val="000000"/>
          <w:szCs w:val="28"/>
        </w:rPr>
        <w:t>葡萄、银杏、甜玉米、柑桔、食用菌</w:t>
      </w:r>
      <w:r>
        <w:rPr>
          <w:rFonts w:hint="eastAsia"/>
          <w:color w:val="000000"/>
        </w:rPr>
        <w:t>生产。认真抓好全县</w:t>
      </w:r>
      <w:r>
        <w:rPr>
          <w:rFonts w:hint="eastAsia" w:ascii="宋体" w:hAnsi="宋体" w:cs="宋体"/>
          <w:bCs/>
          <w:color w:val="000000"/>
          <w:szCs w:val="28"/>
        </w:rPr>
        <w:t>葡萄、银杏、甜玉米、柑桔、食用菌</w:t>
      </w:r>
      <w:r>
        <w:rPr>
          <w:rFonts w:hint="eastAsia"/>
          <w:color w:val="000000"/>
        </w:rPr>
        <w:t>生产和技术指导工作，坚持走市场经济的发展路子，以市场为导向，以科技创新为动力，以提高经济效益为中心，认真做好产业和产品结构调整，适应市场消费需求的发展变化，认真抓好科技推广，提高科学种管水平；加强城市保障性特色农产品基地建设，实施</w:t>
      </w:r>
      <w:r>
        <w:rPr>
          <w:rFonts w:hint="eastAsia" w:ascii="宋体" w:hAnsi="宋体" w:cs="宋体"/>
          <w:bCs/>
          <w:color w:val="000000"/>
          <w:szCs w:val="28"/>
        </w:rPr>
        <w:t>葡萄、银杏、甜玉米、柑桔、食用菌</w:t>
      </w:r>
      <w:r>
        <w:rPr>
          <w:rFonts w:hint="eastAsia"/>
          <w:color w:val="000000"/>
        </w:rPr>
        <w:t>绿色高产高效创建项目，做大做强兴安县</w:t>
      </w:r>
      <w:r>
        <w:rPr>
          <w:color w:val="000000"/>
        </w:rPr>
        <w:t>特色农产品</w:t>
      </w:r>
      <w:r>
        <w:rPr>
          <w:rFonts w:hint="eastAsia"/>
          <w:color w:val="000000"/>
        </w:rPr>
        <w:t>产业。进一步将五大特色农产品</w:t>
      </w:r>
      <w:r>
        <w:rPr>
          <w:color w:val="000000"/>
        </w:rPr>
        <w:t>产业</w:t>
      </w:r>
      <w:r>
        <w:rPr>
          <w:rFonts w:hint="eastAsia"/>
          <w:color w:val="000000"/>
        </w:rPr>
        <w:t>打造成全国知名品牌，将葡萄、银杏、甜玉米、柑桔、食用菌绿色优质特色农业培育成农业农村经济的重要支柱产业和农民持续增收的重要战略产业。</w:t>
      </w:r>
    </w:p>
    <w:p>
      <w:pPr>
        <w:pStyle w:val="4"/>
        <w:spacing w:before="156" w:after="156"/>
        <w:ind w:firstLine="452"/>
      </w:pPr>
      <w:bookmarkStart w:id="80" w:name="_Toc510461941"/>
      <w:r>
        <w:rPr>
          <w:rFonts w:hint="eastAsia"/>
        </w:rPr>
        <w:t>（二）功能定位</w:t>
      </w:r>
      <w:bookmarkEnd w:id="80"/>
    </w:p>
    <w:p>
      <w:pPr>
        <w:pStyle w:val="5"/>
        <w:ind w:firstLine="562"/>
        <w:rPr>
          <w:rFonts w:ascii="宋体" w:hAnsi="宋体" w:cs="宋体"/>
          <w:color w:val="000000"/>
        </w:rPr>
      </w:pPr>
      <w:r>
        <w:rPr>
          <w:rFonts w:hint="eastAsia" w:ascii="宋体" w:hAnsi="宋体" w:cs="宋体"/>
          <w:color w:val="000000"/>
        </w:rPr>
        <w:t>1.广西高品质规模化种植示范基地</w:t>
      </w:r>
    </w:p>
    <w:p>
      <w:pPr>
        <w:ind w:firstLine="560"/>
        <w:rPr>
          <w:rFonts w:ascii="宋体" w:hAnsi="宋体" w:cs="宋体"/>
          <w:color w:val="000000"/>
          <w:szCs w:val="28"/>
        </w:rPr>
      </w:pPr>
      <w:r>
        <w:rPr>
          <w:rFonts w:hint="eastAsia" w:ascii="宋体" w:hAnsi="宋体" w:cs="宋体"/>
          <w:color w:val="000000"/>
          <w:szCs w:val="28"/>
        </w:rPr>
        <w:t>示范集中流转、共建基地、合作经营、职业经理人等多种模式，把种植示范基地打造成高标准、高质量、高效益的优质育苗、绿色防控、生物防治技术推广为一体的综合性园区，辐射带动兴安县及周边地区产业标准化生产。</w:t>
      </w:r>
    </w:p>
    <w:p>
      <w:pPr>
        <w:pStyle w:val="5"/>
        <w:ind w:firstLine="562"/>
        <w:rPr>
          <w:rFonts w:ascii="宋体" w:hAnsi="宋体" w:cs="宋体"/>
          <w:color w:val="000000"/>
        </w:rPr>
      </w:pPr>
      <w:r>
        <w:rPr>
          <w:rFonts w:hint="eastAsia" w:ascii="宋体" w:hAnsi="宋体" w:cs="宋体"/>
          <w:color w:val="000000"/>
        </w:rPr>
        <w:t>2.区域</w:t>
      </w:r>
      <w:r>
        <w:rPr>
          <w:rFonts w:hint="eastAsia" w:ascii="宋体" w:hAnsi="宋体" w:cs="宋体"/>
          <w:bCs w:val="0"/>
          <w:color w:val="000000"/>
        </w:rPr>
        <w:t>葡萄、银杏、甜玉米、柑桔、食用菌</w:t>
      </w:r>
      <w:r>
        <w:rPr>
          <w:rFonts w:hint="eastAsia" w:ascii="宋体" w:hAnsi="宋体" w:cs="宋体"/>
          <w:color w:val="000000"/>
        </w:rPr>
        <w:t>加工仓储与销售中心</w:t>
      </w:r>
    </w:p>
    <w:p>
      <w:pPr>
        <w:ind w:firstLine="560"/>
        <w:rPr>
          <w:rFonts w:ascii="宋体" w:hAnsi="宋体" w:cs="宋体"/>
          <w:color w:val="000000"/>
          <w:szCs w:val="28"/>
        </w:rPr>
      </w:pPr>
      <w:r>
        <w:rPr>
          <w:rFonts w:hint="eastAsia" w:ascii="宋体" w:hAnsi="宋体" w:cs="宋体"/>
          <w:color w:val="000000"/>
          <w:szCs w:val="28"/>
        </w:rPr>
        <w:t>建立</w:t>
      </w:r>
      <w:r>
        <w:rPr>
          <w:rFonts w:hint="eastAsia" w:ascii="宋体" w:hAnsi="宋体" w:cs="宋体"/>
          <w:bCs/>
          <w:color w:val="000000"/>
          <w:szCs w:val="28"/>
        </w:rPr>
        <w:t>葡萄、银杏、甜玉米、柑桔、食用菌</w:t>
      </w:r>
      <w:r>
        <w:rPr>
          <w:rFonts w:hint="eastAsia" w:ascii="宋体" w:hAnsi="宋体" w:cs="宋体"/>
          <w:color w:val="000000"/>
          <w:szCs w:val="28"/>
        </w:rPr>
        <w:t>绿色优质特色农产品电商平台或专属营销渠道，通过与大型电商合作，利用电商平台宣传销售</w:t>
      </w:r>
      <w:r>
        <w:rPr>
          <w:rFonts w:hint="eastAsia" w:ascii="宋体" w:hAnsi="宋体" w:cs="宋体"/>
          <w:bCs/>
          <w:color w:val="000000"/>
          <w:szCs w:val="28"/>
        </w:rPr>
        <w:t>葡萄、银杏、甜玉米、柑桔、食用菌</w:t>
      </w:r>
      <w:r>
        <w:rPr>
          <w:rFonts w:hint="eastAsia" w:ascii="宋体" w:hAnsi="宋体" w:cs="宋体"/>
          <w:color w:val="000000"/>
          <w:szCs w:val="28"/>
        </w:rPr>
        <w:t>，将信息技术引入到</w:t>
      </w:r>
      <w:r>
        <w:rPr>
          <w:rFonts w:hint="eastAsia" w:ascii="宋体" w:hAnsi="宋体" w:cs="宋体"/>
          <w:bCs/>
          <w:color w:val="000000"/>
          <w:szCs w:val="28"/>
        </w:rPr>
        <w:t>葡萄、银杏、甜玉米、柑桔、食用菌</w:t>
      </w:r>
      <w:r>
        <w:rPr>
          <w:rFonts w:hint="eastAsia" w:ascii="宋体" w:hAnsi="宋体" w:cs="宋体"/>
          <w:color w:val="000000"/>
          <w:szCs w:val="28"/>
        </w:rPr>
        <w:t>及其他农产品在流通领域的购销服务平台。定点建设大型农产品交易市场，配套建设交易中心综合服务设施，确保采购商有集中、固定、可选择交易场所，打造成为集兴安县</w:t>
      </w:r>
      <w:r>
        <w:rPr>
          <w:rFonts w:hint="eastAsia" w:ascii="宋体" w:hAnsi="宋体" w:cs="宋体"/>
          <w:bCs/>
          <w:color w:val="000000"/>
          <w:szCs w:val="28"/>
        </w:rPr>
        <w:t>葡萄、银杏、甜玉米、柑桔、食用菌</w:t>
      </w:r>
      <w:r>
        <w:rPr>
          <w:rFonts w:hint="eastAsia" w:ascii="宋体" w:hAnsi="宋体" w:cs="宋体"/>
          <w:color w:val="000000"/>
          <w:szCs w:val="28"/>
        </w:rPr>
        <w:t>及其他产品综合服务的现代交易及物流中心，推出信息技术与实地市场相结合的“复合型科技服务平台”、“一站式采购服务”等商业模式。</w:t>
      </w:r>
    </w:p>
    <w:p>
      <w:pPr>
        <w:pStyle w:val="5"/>
        <w:ind w:firstLine="562"/>
        <w:rPr>
          <w:rFonts w:ascii="宋体" w:hAnsi="宋体" w:cs="宋体"/>
          <w:color w:val="000000"/>
        </w:rPr>
      </w:pPr>
      <w:r>
        <w:rPr>
          <w:rFonts w:hint="eastAsia" w:ascii="宋体" w:hAnsi="宋体" w:cs="宋体"/>
          <w:color w:val="000000"/>
        </w:rPr>
        <w:t>3.全产业链科技研发与成果转化应用平台</w:t>
      </w:r>
    </w:p>
    <w:p>
      <w:pPr>
        <w:ind w:firstLine="560"/>
        <w:rPr>
          <w:rFonts w:ascii="宋体" w:hAnsi="宋体" w:cs="宋体"/>
          <w:color w:val="000000"/>
          <w:szCs w:val="28"/>
        </w:rPr>
      </w:pPr>
      <w:r>
        <w:rPr>
          <w:rFonts w:hint="eastAsia" w:ascii="宋体" w:hAnsi="宋体" w:cs="宋体"/>
          <w:color w:val="000000"/>
          <w:szCs w:val="28"/>
        </w:rPr>
        <w:t>吸引科研院所与重大科研项目落地兴安县，制定多层次专业人才培养与引进计划，搭建科技成果转化服务平台，创新柑桔产业“产—学—研—推”一体化发展模式，研发新的柑桔品种。</w:t>
      </w:r>
      <w:r>
        <w:rPr>
          <w:rFonts w:hint="eastAsia" w:ascii="仿宋" w:hAnsi="仿宋"/>
          <w:color w:val="000000"/>
        </w:rPr>
        <w:t>引进头企业，采用“公司+基地+农户”的模式，发展兴安县特色</w:t>
      </w:r>
      <w:r>
        <w:rPr>
          <w:rFonts w:ascii="仿宋" w:hAnsi="仿宋"/>
          <w:color w:val="000000"/>
        </w:rPr>
        <w:t>农产品</w:t>
      </w:r>
      <w:r>
        <w:rPr>
          <w:rFonts w:hint="eastAsia" w:ascii="仿宋" w:hAnsi="仿宋"/>
          <w:color w:val="000000"/>
        </w:rPr>
        <w:t>产业化生产。通过有组织、有计划地组织农户进行投资生产，并签订合同，进行收购、加工、包装、冷藏，创建品牌等，提高蔬菜产品的科技含量，增强产品市场竞争力，进一步提高农产品的经济效益。</w:t>
      </w:r>
      <w:r>
        <w:rPr>
          <w:rFonts w:hint="eastAsia" w:ascii="宋体" w:hAnsi="宋体" w:cs="宋体"/>
          <w:color w:val="000000"/>
          <w:szCs w:val="28"/>
        </w:rPr>
        <w:t>搭建新型经营主体创新创业服务平台，打造成为新型经营主体“双创”的孵化区，落实特色产业精准扶贫。</w:t>
      </w:r>
    </w:p>
    <w:p>
      <w:pPr>
        <w:pStyle w:val="3"/>
        <w:spacing w:before="0" w:after="0"/>
        <w:ind w:firstLine="643"/>
        <w:rPr>
          <w:rFonts w:ascii="宋体" w:hAnsi="宋体" w:cs="宋体"/>
          <w:color w:val="000000"/>
        </w:rPr>
      </w:pPr>
      <w:bookmarkStart w:id="81" w:name="_Toc21594846"/>
      <w:bookmarkStart w:id="82" w:name="_Toc18417401"/>
      <w:bookmarkStart w:id="83" w:name="_Toc510461942"/>
      <w:bookmarkStart w:id="84" w:name="_Toc529131807"/>
      <w:r>
        <w:rPr>
          <w:rFonts w:hint="eastAsia" w:ascii="宋体" w:hAnsi="宋体" w:cs="宋体"/>
          <w:color w:val="000000"/>
        </w:rPr>
        <w:t>四、建设目标</w:t>
      </w:r>
      <w:bookmarkEnd w:id="81"/>
      <w:bookmarkEnd w:id="82"/>
      <w:bookmarkEnd w:id="83"/>
      <w:bookmarkEnd w:id="84"/>
    </w:p>
    <w:p>
      <w:pPr>
        <w:pStyle w:val="4"/>
        <w:spacing w:before="156" w:after="156"/>
        <w:ind w:firstLine="452"/>
      </w:pPr>
      <w:bookmarkStart w:id="85" w:name="_Toc510461943"/>
      <w:r>
        <w:rPr>
          <w:rFonts w:hint="eastAsia"/>
        </w:rPr>
        <w:t>（一）总体目标</w:t>
      </w:r>
      <w:bookmarkEnd w:id="85"/>
    </w:p>
    <w:p>
      <w:pPr>
        <w:ind w:firstLine="560"/>
        <w:rPr>
          <w:rFonts w:ascii="宋体" w:hAnsi="宋体" w:cs="宋体"/>
          <w:color w:val="000000"/>
          <w:szCs w:val="28"/>
        </w:rPr>
      </w:pPr>
      <w:r>
        <w:rPr>
          <w:rFonts w:hint="eastAsia"/>
          <w:color w:val="000000"/>
        </w:rPr>
        <w:t>立足兴安县资源优势和产业特色，以特色农产品优势区创建为统领，将特色</w:t>
      </w:r>
      <w:r>
        <w:rPr>
          <w:color w:val="000000"/>
        </w:rPr>
        <w:t>农产品</w:t>
      </w:r>
      <w:r>
        <w:rPr>
          <w:rFonts w:hint="eastAsia" w:ascii="宋体" w:hAnsi="宋体" w:cs="宋体"/>
          <w:color w:val="000000"/>
          <w:szCs w:val="28"/>
        </w:rPr>
        <w:t>产业品种区域化布局更加合理，实施标准化生产，深加工与冷链物流体系建设逐步完善，标准化生产加工、农村电商、会展贸易等新兴业态蓬勃发展，科技示范与推广服务能力明显提高，区域农产品品牌与特色农产品品牌建设取得突破，新型农业经营主体示范带动作用明显，辐射周边特色农产品产业形成区域化布局、规模化发展、标准化生产、集约化经营、产业化开发的新格局，打造成为全国知名，走向世界的现代特色产业集群，为全国特色农产品优势区发展树立样板。</w:t>
      </w:r>
    </w:p>
    <w:p>
      <w:pPr>
        <w:ind w:firstLine="560"/>
      </w:pPr>
      <w:r>
        <w:rPr>
          <w:rFonts w:hint="eastAsia"/>
        </w:rPr>
        <w:t>围绕兴安县葡萄、银杏、甜玉米、柑桔、食用菌五大优势产业，坚持以高端消费群体市场为主攻目标，以绿色食品标准为基本生产标准，到2</w:t>
      </w:r>
      <w:r>
        <w:t>022</w:t>
      </w:r>
      <w:r>
        <w:rPr>
          <w:rFonts w:hint="eastAsia"/>
        </w:rPr>
        <w:t>年创建并认定至少1个自治区级特优区，力争获得国家级特优区认定</w:t>
      </w:r>
      <w:r>
        <w:t>1</w:t>
      </w:r>
      <w:r>
        <w:rPr>
          <w:rFonts w:hint="eastAsia"/>
        </w:rPr>
        <w:t>个。形成以特色农产品生产、加工、流通、销售产业链为基础，集科技创新、休闲观光、配套农资生产和制造融合发展的特色农业产业集群，打造一批“广西第一、全国有名”的特色农产品品牌，增强高端农产品供给能力。以特优区建设为核心引领带动整个特色优势产业做大做强，提升兴安县特色农产品的产品优势、产业优势和竞争优势，推动农业供给结构调整，带动区域经济增长和农民增收。</w:t>
      </w:r>
    </w:p>
    <w:p>
      <w:pPr>
        <w:pStyle w:val="4"/>
        <w:spacing w:before="156" w:after="156"/>
        <w:ind w:firstLine="452"/>
        <w:rPr>
          <w:rFonts w:ascii="宋体" w:hAnsi="宋体" w:cs="宋体"/>
          <w:color w:val="000000"/>
        </w:rPr>
      </w:pPr>
      <w:bookmarkStart w:id="86" w:name="_Toc510461944"/>
      <w:r>
        <w:rPr>
          <w:rFonts w:hint="eastAsia" w:ascii="宋体" w:hAnsi="宋体" w:cs="宋体"/>
          <w:color w:val="000000"/>
        </w:rPr>
        <w:t>（二）创建目标</w:t>
      </w:r>
      <w:bookmarkEnd w:id="86"/>
    </w:p>
    <w:p>
      <w:pPr>
        <w:ind w:firstLine="560"/>
        <w:rPr>
          <w:rFonts w:ascii="宋体" w:hAnsi="宋体" w:cs="宋体"/>
          <w:color w:val="000000"/>
          <w:szCs w:val="28"/>
        </w:rPr>
      </w:pPr>
      <w:r>
        <w:rPr>
          <w:rFonts w:hint="eastAsia" w:ascii="宋体" w:hAnsi="宋体" w:cs="宋体"/>
          <w:color w:val="000000"/>
          <w:szCs w:val="28"/>
        </w:rPr>
        <w:t>根据实际情况，完善基础及服务设施，提高技术装备条件，实现农业产业化龙头企业高效集聚，逐步形成区域化布局、规模化发展、标准化生产、集约化经营、产业化开发的新格局，实现产业集群、加工完善、经营规范、农民增收、社会繁荣的目标。</w:t>
      </w:r>
    </w:p>
    <w:p>
      <w:pPr>
        <w:ind w:firstLine="560"/>
      </w:pPr>
      <w:r>
        <w:rPr>
          <w:rFonts w:hint="eastAsia"/>
        </w:rPr>
        <w:t>到2</w:t>
      </w:r>
      <w:r>
        <w:t>022</w:t>
      </w:r>
      <w:r>
        <w:rPr>
          <w:rFonts w:hint="eastAsia"/>
        </w:rPr>
        <w:t>年，围绕葡萄、银杏、甜玉米、柑桔、食用菌等五大优势产业，创建并认定至少1个自治区级特优区，力争获得国家级特优区认定1个。</w:t>
      </w:r>
    </w:p>
    <w:p>
      <w:pPr>
        <w:ind w:firstLine="482"/>
        <w:jc w:val="center"/>
        <w:rPr>
          <w:rFonts w:ascii="宋体" w:hAnsi="宋体" w:cs="宋体"/>
          <w:b/>
          <w:color w:val="FF0000"/>
          <w:sz w:val="24"/>
        </w:rPr>
      </w:pPr>
    </w:p>
    <w:p>
      <w:pPr>
        <w:ind w:firstLine="0" w:firstLineChars="0"/>
        <w:rPr>
          <w:rFonts w:ascii="宋体" w:hAnsi="宋体" w:cs="宋体"/>
          <w:b/>
          <w:color w:val="FF0000"/>
          <w:sz w:val="24"/>
        </w:rPr>
      </w:pPr>
    </w:p>
    <w:p>
      <w:pPr>
        <w:ind w:firstLine="482"/>
        <w:jc w:val="center"/>
        <w:rPr>
          <w:rFonts w:ascii="宋体" w:hAnsi="宋体" w:cs="宋体"/>
          <w:b/>
          <w:sz w:val="24"/>
        </w:rPr>
      </w:pPr>
      <w:r>
        <w:rPr>
          <w:rFonts w:hint="eastAsia" w:ascii="宋体" w:hAnsi="宋体" w:cs="宋体"/>
          <w:b/>
          <w:sz w:val="24"/>
        </w:rPr>
        <w:t>表4</w:t>
      </w:r>
      <w:r>
        <w:rPr>
          <w:rFonts w:ascii="宋体" w:hAnsi="宋体" w:cs="宋体"/>
          <w:b/>
          <w:sz w:val="24"/>
        </w:rPr>
        <w:t>-1</w:t>
      </w:r>
      <w:r>
        <w:rPr>
          <w:rFonts w:hint="eastAsia" w:ascii="宋体" w:hAnsi="宋体" w:cs="宋体"/>
          <w:b/>
          <w:sz w:val="24"/>
        </w:rPr>
        <w:t xml:space="preserve"> 兴安县特色农产品优势区建设目标指标表</w:t>
      </w:r>
    </w:p>
    <w:tbl>
      <w:tblPr>
        <w:tblStyle w:val="15"/>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276"/>
        <w:gridCol w:w="3402"/>
        <w:gridCol w:w="992"/>
        <w:gridCol w:w="1067"/>
        <w:gridCol w:w="1267"/>
        <w:gridCol w:w="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blHeader/>
          <w:jc w:val="center"/>
        </w:trPr>
        <w:tc>
          <w:tcPr>
            <w:tcW w:w="704" w:type="dxa"/>
            <w:shd w:val="clear" w:color="auto" w:fill="auto"/>
            <w:noWrap/>
            <w:vAlign w:val="center"/>
          </w:tcPr>
          <w:p>
            <w:pPr>
              <w:widowControl/>
              <w:ind w:firstLine="0" w:firstLineChars="0"/>
              <w:jc w:val="center"/>
              <w:rPr>
                <w:rFonts w:asciiTheme="minorEastAsia" w:hAnsiTheme="minorEastAsia" w:eastAsiaTheme="minorEastAsia" w:cstheme="minorEastAsia"/>
                <w:b/>
                <w:bCs/>
                <w:color w:val="000000"/>
                <w:kern w:val="0"/>
                <w:sz w:val="24"/>
              </w:rPr>
            </w:pPr>
            <w:r>
              <w:rPr>
                <w:rFonts w:hint="eastAsia" w:asciiTheme="minorEastAsia" w:hAnsiTheme="minorEastAsia" w:eastAsiaTheme="minorEastAsia" w:cstheme="minorEastAsia"/>
                <w:b/>
                <w:bCs/>
                <w:color w:val="000000"/>
                <w:kern w:val="0"/>
                <w:sz w:val="24"/>
              </w:rPr>
              <w:t>序号</w:t>
            </w:r>
          </w:p>
        </w:tc>
        <w:tc>
          <w:tcPr>
            <w:tcW w:w="1276" w:type="dxa"/>
            <w:shd w:val="clear" w:color="auto" w:fill="auto"/>
            <w:vAlign w:val="center"/>
          </w:tcPr>
          <w:p>
            <w:pPr>
              <w:widowControl/>
              <w:ind w:firstLine="0" w:firstLineChars="0"/>
              <w:jc w:val="center"/>
              <w:rPr>
                <w:rFonts w:asciiTheme="minorEastAsia" w:hAnsiTheme="minorEastAsia" w:eastAsiaTheme="minorEastAsia" w:cstheme="minorEastAsia"/>
                <w:b/>
                <w:bCs/>
                <w:color w:val="000000"/>
                <w:kern w:val="0"/>
                <w:sz w:val="24"/>
              </w:rPr>
            </w:pPr>
            <w:r>
              <w:rPr>
                <w:rFonts w:hint="eastAsia" w:asciiTheme="minorEastAsia" w:hAnsiTheme="minorEastAsia" w:eastAsiaTheme="minorEastAsia" w:cstheme="minorEastAsia"/>
                <w:b/>
                <w:bCs/>
                <w:color w:val="000000"/>
                <w:kern w:val="0"/>
                <w:sz w:val="24"/>
              </w:rPr>
              <w:t>一级指标</w:t>
            </w:r>
          </w:p>
        </w:tc>
        <w:tc>
          <w:tcPr>
            <w:tcW w:w="3402" w:type="dxa"/>
            <w:shd w:val="clear" w:color="auto" w:fill="auto"/>
            <w:vAlign w:val="center"/>
          </w:tcPr>
          <w:p>
            <w:pPr>
              <w:widowControl/>
              <w:ind w:firstLine="0" w:firstLineChars="0"/>
              <w:jc w:val="center"/>
              <w:rPr>
                <w:rFonts w:asciiTheme="minorEastAsia" w:hAnsiTheme="minorEastAsia" w:eastAsiaTheme="minorEastAsia" w:cstheme="minorEastAsia"/>
                <w:b/>
                <w:bCs/>
                <w:color w:val="000000"/>
                <w:kern w:val="0"/>
                <w:sz w:val="24"/>
              </w:rPr>
            </w:pPr>
            <w:r>
              <w:rPr>
                <w:rFonts w:hint="eastAsia" w:asciiTheme="minorEastAsia" w:hAnsiTheme="minorEastAsia" w:eastAsiaTheme="minorEastAsia" w:cstheme="minorEastAsia"/>
                <w:b/>
                <w:bCs/>
                <w:color w:val="000000"/>
                <w:kern w:val="0"/>
                <w:sz w:val="24"/>
              </w:rPr>
              <w:t>二级指标</w:t>
            </w:r>
          </w:p>
        </w:tc>
        <w:tc>
          <w:tcPr>
            <w:tcW w:w="992" w:type="dxa"/>
            <w:shd w:val="clear" w:color="auto" w:fill="auto"/>
            <w:vAlign w:val="center"/>
          </w:tcPr>
          <w:p>
            <w:pPr>
              <w:widowControl/>
              <w:ind w:firstLine="0" w:firstLineChars="0"/>
              <w:jc w:val="center"/>
              <w:rPr>
                <w:rFonts w:asciiTheme="minorEastAsia" w:hAnsiTheme="minorEastAsia" w:eastAsiaTheme="minorEastAsia" w:cstheme="minorEastAsia"/>
                <w:b/>
                <w:bCs/>
                <w:color w:val="000000"/>
                <w:kern w:val="0"/>
                <w:sz w:val="24"/>
              </w:rPr>
            </w:pPr>
            <w:r>
              <w:rPr>
                <w:rFonts w:hint="eastAsia" w:asciiTheme="minorEastAsia" w:hAnsiTheme="minorEastAsia" w:eastAsiaTheme="minorEastAsia" w:cstheme="minorEastAsia"/>
                <w:b/>
                <w:bCs/>
                <w:color w:val="000000"/>
                <w:kern w:val="0"/>
                <w:sz w:val="24"/>
              </w:rPr>
              <w:t>单位</w:t>
            </w:r>
          </w:p>
        </w:tc>
        <w:tc>
          <w:tcPr>
            <w:tcW w:w="1067" w:type="dxa"/>
            <w:shd w:val="clear" w:color="auto" w:fill="auto"/>
            <w:vAlign w:val="center"/>
          </w:tcPr>
          <w:p>
            <w:pPr>
              <w:widowControl/>
              <w:ind w:firstLine="0" w:firstLineChars="0"/>
              <w:jc w:val="center"/>
              <w:rPr>
                <w:rFonts w:asciiTheme="minorEastAsia" w:hAnsiTheme="minorEastAsia" w:eastAsiaTheme="minorEastAsia" w:cstheme="minorEastAsia"/>
                <w:b/>
                <w:bCs/>
                <w:color w:val="000000"/>
                <w:kern w:val="0"/>
                <w:sz w:val="24"/>
              </w:rPr>
            </w:pPr>
            <w:r>
              <w:rPr>
                <w:rFonts w:hint="eastAsia" w:asciiTheme="minorEastAsia" w:hAnsiTheme="minorEastAsia" w:eastAsiaTheme="minorEastAsia" w:cstheme="minorEastAsia"/>
                <w:b/>
                <w:bCs/>
                <w:color w:val="000000"/>
                <w:kern w:val="0"/>
                <w:sz w:val="24"/>
              </w:rPr>
              <w:t>2018年基础值</w:t>
            </w:r>
          </w:p>
        </w:tc>
        <w:tc>
          <w:tcPr>
            <w:tcW w:w="1267" w:type="dxa"/>
            <w:shd w:val="clear" w:color="auto" w:fill="auto"/>
            <w:vAlign w:val="center"/>
          </w:tcPr>
          <w:p>
            <w:pPr>
              <w:widowControl/>
              <w:ind w:firstLine="0" w:firstLineChars="0"/>
              <w:jc w:val="center"/>
              <w:rPr>
                <w:rFonts w:asciiTheme="minorEastAsia" w:hAnsiTheme="minorEastAsia" w:eastAsiaTheme="minorEastAsia" w:cstheme="minorEastAsia"/>
                <w:b/>
                <w:bCs/>
                <w:color w:val="000000"/>
                <w:kern w:val="0"/>
                <w:sz w:val="24"/>
              </w:rPr>
            </w:pPr>
            <w:r>
              <w:rPr>
                <w:rFonts w:hint="eastAsia" w:asciiTheme="minorEastAsia" w:hAnsiTheme="minorEastAsia" w:eastAsiaTheme="minorEastAsia" w:cstheme="minorEastAsia"/>
                <w:b/>
                <w:bCs/>
                <w:color w:val="000000"/>
                <w:kern w:val="0"/>
                <w:sz w:val="24"/>
              </w:rPr>
              <w:t>2022年</w:t>
            </w:r>
          </w:p>
          <w:p>
            <w:pPr>
              <w:widowControl/>
              <w:ind w:firstLine="0" w:firstLineChars="0"/>
              <w:jc w:val="center"/>
              <w:rPr>
                <w:rFonts w:asciiTheme="minorEastAsia" w:hAnsiTheme="minorEastAsia" w:eastAsiaTheme="minorEastAsia" w:cstheme="minorEastAsia"/>
                <w:b/>
                <w:bCs/>
                <w:color w:val="000000"/>
                <w:kern w:val="0"/>
                <w:sz w:val="24"/>
              </w:rPr>
            </w:pPr>
            <w:r>
              <w:rPr>
                <w:rFonts w:hint="eastAsia" w:asciiTheme="minorEastAsia" w:hAnsiTheme="minorEastAsia" w:eastAsiaTheme="minorEastAsia" w:cstheme="minorEastAsia"/>
                <w:b/>
                <w:bCs/>
                <w:color w:val="000000"/>
                <w:kern w:val="0"/>
                <w:sz w:val="24"/>
              </w:rPr>
              <w:t>目标值</w:t>
            </w:r>
          </w:p>
        </w:tc>
        <w:tc>
          <w:tcPr>
            <w:tcW w:w="785" w:type="dxa"/>
            <w:shd w:val="clear" w:color="auto" w:fill="auto"/>
            <w:vAlign w:val="center"/>
          </w:tcPr>
          <w:p>
            <w:pPr>
              <w:widowControl/>
              <w:ind w:firstLine="0" w:firstLineChars="0"/>
              <w:jc w:val="center"/>
              <w:rPr>
                <w:rFonts w:asciiTheme="minorEastAsia" w:hAnsiTheme="minorEastAsia" w:eastAsiaTheme="minorEastAsia" w:cstheme="minorEastAsia"/>
                <w:b/>
                <w:bCs/>
                <w:color w:val="000000"/>
                <w:kern w:val="0"/>
                <w:sz w:val="24"/>
              </w:rPr>
            </w:pPr>
            <w:r>
              <w:rPr>
                <w:rFonts w:hint="eastAsia" w:asciiTheme="minorEastAsia" w:hAnsiTheme="minorEastAsia" w:eastAsiaTheme="minorEastAsia" w:cstheme="minorEastAsia"/>
                <w:b/>
                <w:bCs/>
                <w:color w:val="000000"/>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704" w:type="dxa"/>
            <w:vMerge w:val="restart"/>
            <w:shd w:val="clear" w:color="auto" w:fill="auto"/>
            <w:noWrap/>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1</w:t>
            </w:r>
          </w:p>
        </w:tc>
        <w:tc>
          <w:tcPr>
            <w:tcW w:w="1276" w:type="dxa"/>
            <w:vMerge w:val="restart"/>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总体目标</w:t>
            </w:r>
          </w:p>
        </w:tc>
        <w:tc>
          <w:tcPr>
            <w:tcW w:w="3402"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广西特色农产品优势区</w:t>
            </w:r>
          </w:p>
        </w:tc>
        <w:tc>
          <w:tcPr>
            <w:tcW w:w="992" w:type="dxa"/>
            <w:shd w:val="clear" w:color="auto" w:fill="auto"/>
            <w:noWrap/>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个</w:t>
            </w:r>
          </w:p>
        </w:tc>
        <w:tc>
          <w:tcPr>
            <w:tcW w:w="1067" w:type="dxa"/>
            <w:shd w:val="clear" w:color="auto" w:fill="auto"/>
            <w:vAlign w:val="center"/>
          </w:tcPr>
          <w:p>
            <w:pPr>
              <w:widowControl/>
              <w:ind w:firstLine="0" w:firstLineChars="0"/>
              <w:jc w:val="center"/>
              <w:rPr>
                <w:rFonts w:asciiTheme="minorEastAsia" w:hAnsiTheme="minorEastAsia" w:eastAsiaTheme="minorEastAsia" w:cstheme="minorEastAsia"/>
                <w:bCs/>
                <w:color w:val="000000"/>
                <w:kern w:val="0"/>
                <w:sz w:val="24"/>
              </w:rPr>
            </w:pPr>
            <w:r>
              <w:rPr>
                <w:rFonts w:hint="eastAsia" w:asciiTheme="minorEastAsia" w:hAnsiTheme="minorEastAsia" w:eastAsiaTheme="minorEastAsia" w:cstheme="minorEastAsia"/>
                <w:bCs/>
                <w:color w:val="000000"/>
                <w:kern w:val="0"/>
                <w:sz w:val="24"/>
              </w:rPr>
              <w:t>0</w:t>
            </w:r>
          </w:p>
        </w:tc>
        <w:tc>
          <w:tcPr>
            <w:tcW w:w="1267" w:type="dxa"/>
            <w:shd w:val="clear" w:color="auto" w:fill="auto"/>
            <w:vAlign w:val="center"/>
          </w:tcPr>
          <w:p>
            <w:pPr>
              <w:widowControl/>
              <w:ind w:firstLine="0" w:firstLineChars="0"/>
              <w:jc w:val="center"/>
              <w:rPr>
                <w:rFonts w:asciiTheme="minorEastAsia" w:hAnsiTheme="minorEastAsia" w:eastAsiaTheme="minorEastAsia" w:cstheme="minorEastAsia"/>
                <w:bCs/>
                <w:color w:val="000000"/>
                <w:kern w:val="0"/>
                <w:sz w:val="24"/>
              </w:rPr>
            </w:pPr>
            <w:r>
              <w:rPr>
                <w:rFonts w:hint="eastAsia" w:asciiTheme="minorEastAsia" w:hAnsiTheme="minorEastAsia" w:eastAsiaTheme="minorEastAsia" w:cstheme="minorEastAsia"/>
                <w:bCs/>
                <w:color w:val="000000"/>
                <w:kern w:val="0"/>
                <w:sz w:val="24"/>
              </w:rPr>
              <w:t>1</w:t>
            </w:r>
          </w:p>
        </w:tc>
        <w:tc>
          <w:tcPr>
            <w:tcW w:w="785" w:type="dxa"/>
            <w:shd w:val="clear" w:color="auto" w:fill="auto"/>
            <w:vAlign w:val="center"/>
          </w:tcPr>
          <w:p>
            <w:pPr>
              <w:widowControl/>
              <w:ind w:firstLine="0" w:firstLineChars="0"/>
              <w:jc w:val="center"/>
              <w:rPr>
                <w:rFonts w:asciiTheme="minorEastAsia" w:hAnsiTheme="minorEastAsia" w:eastAsiaTheme="minorEastAsia" w:cstheme="minorEastAsia"/>
                <w:b/>
                <w:bCs/>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vMerge w:val="continue"/>
            <w:vAlign w:val="center"/>
          </w:tcPr>
          <w:p>
            <w:pPr>
              <w:widowControl/>
              <w:ind w:firstLine="0" w:firstLineChars="0"/>
              <w:jc w:val="left"/>
              <w:rPr>
                <w:rFonts w:asciiTheme="minorEastAsia" w:hAnsiTheme="minorEastAsia" w:eastAsiaTheme="minorEastAsia" w:cstheme="minorEastAsia"/>
                <w:color w:val="000000"/>
                <w:kern w:val="0"/>
                <w:sz w:val="24"/>
              </w:rPr>
            </w:pPr>
          </w:p>
        </w:tc>
        <w:tc>
          <w:tcPr>
            <w:tcW w:w="1276" w:type="dxa"/>
            <w:vMerge w:val="continue"/>
            <w:vAlign w:val="center"/>
          </w:tcPr>
          <w:p>
            <w:pPr>
              <w:widowControl/>
              <w:ind w:firstLine="0" w:firstLineChars="0"/>
              <w:jc w:val="left"/>
              <w:rPr>
                <w:rFonts w:asciiTheme="minorEastAsia" w:hAnsiTheme="minorEastAsia" w:eastAsiaTheme="minorEastAsia" w:cstheme="minorEastAsia"/>
                <w:color w:val="000000"/>
                <w:kern w:val="0"/>
                <w:sz w:val="24"/>
              </w:rPr>
            </w:pPr>
          </w:p>
        </w:tc>
        <w:tc>
          <w:tcPr>
            <w:tcW w:w="3402"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中国特色农产品优势区</w:t>
            </w:r>
          </w:p>
        </w:tc>
        <w:tc>
          <w:tcPr>
            <w:tcW w:w="992" w:type="dxa"/>
            <w:shd w:val="clear" w:color="auto" w:fill="auto"/>
            <w:vAlign w:val="center"/>
          </w:tcPr>
          <w:p>
            <w:pPr>
              <w:widowControl/>
              <w:ind w:firstLine="0" w:firstLineChars="0"/>
              <w:jc w:val="center"/>
              <w:rPr>
                <w:rFonts w:asciiTheme="minorEastAsia" w:hAnsiTheme="minorEastAsia" w:eastAsiaTheme="minorEastAsia" w:cstheme="minorEastAsia"/>
                <w:bCs/>
                <w:color w:val="000000"/>
                <w:kern w:val="0"/>
                <w:sz w:val="24"/>
              </w:rPr>
            </w:pPr>
            <w:r>
              <w:rPr>
                <w:rFonts w:hint="eastAsia" w:asciiTheme="minorEastAsia" w:hAnsiTheme="minorEastAsia" w:eastAsiaTheme="minorEastAsia" w:cstheme="minorEastAsia"/>
                <w:bCs/>
                <w:color w:val="000000"/>
                <w:kern w:val="0"/>
                <w:sz w:val="24"/>
              </w:rPr>
              <w:t>个</w:t>
            </w:r>
          </w:p>
        </w:tc>
        <w:tc>
          <w:tcPr>
            <w:tcW w:w="1067" w:type="dxa"/>
            <w:shd w:val="clear" w:color="auto" w:fill="auto"/>
            <w:vAlign w:val="center"/>
          </w:tcPr>
          <w:p>
            <w:pPr>
              <w:widowControl/>
              <w:ind w:firstLine="0" w:firstLineChars="0"/>
              <w:jc w:val="center"/>
              <w:rPr>
                <w:rFonts w:asciiTheme="minorEastAsia" w:hAnsiTheme="minorEastAsia" w:eastAsiaTheme="minorEastAsia" w:cstheme="minorEastAsia"/>
                <w:bCs/>
                <w:color w:val="000000"/>
                <w:kern w:val="0"/>
                <w:sz w:val="24"/>
              </w:rPr>
            </w:pPr>
            <w:r>
              <w:rPr>
                <w:rFonts w:hint="eastAsia" w:asciiTheme="minorEastAsia" w:hAnsiTheme="minorEastAsia" w:eastAsiaTheme="minorEastAsia" w:cstheme="minorEastAsia"/>
                <w:bCs/>
                <w:color w:val="000000"/>
                <w:kern w:val="0"/>
                <w:sz w:val="24"/>
              </w:rPr>
              <w:t>0</w:t>
            </w:r>
          </w:p>
        </w:tc>
        <w:tc>
          <w:tcPr>
            <w:tcW w:w="1267" w:type="dxa"/>
            <w:shd w:val="clear" w:color="auto" w:fill="auto"/>
            <w:vAlign w:val="center"/>
          </w:tcPr>
          <w:p>
            <w:pPr>
              <w:widowControl/>
              <w:ind w:firstLine="0" w:firstLineChars="0"/>
              <w:jc w:val="center"/>
              <w:rPr>
                <w:rFonts w:asciiTheme="minorEastAsia" w:hAnsiTheme="minorEastAsia" w:eastAsiaTheme="minorEastAsia" w:cstheme="minorEastAsia"/>
                <w:bCs/>
                <w:color w:val="000000"/>
                <w:kern w:val="0"/>
                <w:sz w:val="24"/>
              </w:rPr>
            </w:pPr>
            <w:r>
              <w:rPr>
                <w:rFonts w:hint="eastAsia" w:asciiTheme="minorEastAsia" w:hAnsiTheme="minorEastAsia" w:eastAsiaTheme="minorEastAsia" w:cstheme="minorEastAsia"/>
                <w:bCs/>
                <w:color w:val="000000"/>
                <w:kern w:val="0"/>
                <w:sz w:val="24"/>
              </w:rPr>
              <w:t>1</w:t>
            </w:r>
          </w:p>
        </w:tc>
        <w:tc>
          <w:tcPr>
            <w:tcW w:w="785" w:type="dxa"/>
            <w:shd w:val="clear" w:color="auto" w:fill="auto"/>
            <w:vAlign w:val="center"/>
          </w:tcPr>
          <w:p>
            <w:pPr>
              <w:widowControl/>
              <w:ind w:firstLine="0" w:firstLineChars="0"/>
              <w:jc w:val="center"/>
              <w:rPr>
                <w:rFonts w:asciiTheme="minorEastAsia" w:hAnsiTheme="minorEastAsia" w:eastAsiaTheme="minorEastAsia" w:cstheme="minorEastAsia"/>
                <w:b/>
                <w:bCs/>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704" w:type="dxa"/>
            <w:vMerge w:val="continue"/>
            <w:vAlign w:val="center"/>
          </w:tcPr>
          <w:p>
            <w:pPr>
              <w:widowControl/>
              <w:ind w:firstLine="0" w:firstLineChars="0"/>
              <w:jc w:val="left"/>
              <w:rPr>
                <w:rFonts w:asciiTheme="minorEastAsia" w:hAnsiTheme="minorEastAsia" w:eastAsiaTheme="minorEastAsia" w:cstheme="minorEastAsia"/>
                <w:color w:val="000000"/>
                <w:kern w:val="0"/>
                <w:sz w:val="24"/>
              </w:rPr>
            </w:pPr>
          </w:p>
        </w:tc>
        <w:tc>
          <w:tcPr>
            <w:tcW w:w="1276" w:type="dxa"/>
            <w:vMerge w:val="continue"/>
            <w:vAlign w:val="center"/>
          </w:tcPr>
          <w:p>
            <w:pPr>
              <w:widowControl/>
              <w:ind w:firstLine="0" w:firstLineChars="0"/>
              <w:jc w:val="left"/>
              <w:rPr>
                <w:rFonts w:asciiTheme="minorEastAsia" w:hAnsiTheme="minorEastAsia" w:eastAsiaTheme="minorEastAsia" w:cstheme="minorEastAsia"/>
                <w:color w:val="000000"/>
                <w:kern w:val="0"/>
                <w:sz w:val="24"/>
              </w:rPr>
            </w:pPr>
          </w:p>
        </w:tc>
        <w:tc>
          <w:tcPr>
            <w:tcW w:w="3402"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特色主导产业总产值占农牧渔业总产值的比重</w:t>
            </w:r>
          </w:p>
        </w:tc>
        <w:tc>
          <w:tcPr>
            <w:tcW w:w="992"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w:t>
            </w:r>
          </w:p>
        </w:tc>
        <w:tc>
          <w:tcPr>
            <w:tcW w:w="1067" w:type="dxa"/>
            <w:shd w:val="clear" w:color="auto" w:fill="auto"/>
            <w:vAlign w:val="center"/>
          </w:tcPr>
          <w:p>
            <w:pPr>
              <w:widowControl/>
              <w:ind w:firstLine="0" w:firstLineChars="0"/>
              <w:jc w:val="center"/>
              <w:rPr>
                <w:rFonts w:asciiTheme="minorEastAsia" w:hAnsiTheme="minorEastAsia" w:eastAsiaTheme="minorEastAsia" w:cstheme="minorEastAsia"/>
                <w:color w:val="000000" w:themeColor="text1"/>
                <w:kern w:val="0"/>
                <w:sz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14:textFill>
                  <w14:solidFill>
                    <w14:schemeClr w14:val="tx1"/>
                  </w14:solidFill>
                </w14:textFill>
              </w:rPr>
              <w:t>49.17</w:t>
            </w:r>
          </w:p>
        </w:tc>
        <w:tc>
          <w:tcPr>
            <w:tcW w:w="1267" w:type="dxa"/>
            <w:shd w:val="clear" w:color="auto" w:fill="auto"/>
            <w:vAlign w:val="center"/>
          </w:tcPr>
          <w:p>
            <w:pPr>
              <w:widowControl/>
              <w:ind w:firstLine="0" w:firstLineChars="0"/>
              <w:jc w:val="center"/>
              <w:rPr>
                <w:rFonts w:asciiTheme="minorEastAsia" w:hAnsiTheme="minorEastAsia" w:eastAsiaTheme="minorEastAsia" w:cstheme="minorEastAsia"/>
                <w:color w:val="000000" w:themeColor="text1"/>
                <w:kern w:val="0"/>
                <w:sz w:val="24"/>
                <w14:textFill>
                  <w14:solidFill>
                    <w14:schemeClr w14:val="tx1"/>
                  </w14:solidFill>
                </w14:textFill>
              </w:rPr>
            </w:pPr>
            <w:r>
              <w:rPr>
                <w:rFonts w:asciiTheme="minorEastAsia" w:hAnsiTheme="minorEastAsia" w:eastAsiaTheme="minorEastAsia" w:cstheme="minorEastAsia"/>
                <w:color w:val="000000" w:themeColor="text1"/>
                <w:kern w:val="0"/>
                <w:sz w:val="24"/>
                <w14:textFill>
                  <w14:solidFill>
                    <w14:schemeClr w14:val="tx1"/>
                  </w14:solidFill>
                </w14:textFill>
              </w:rPr>
              <w:t>60</w:t>
            </w:r>
          </w:p>
        </w:tc>
        <w:tc>
          <w:tcPr>
            <w:tcW w:w="785" w:type="dxa"/>
            <w:shd w:val="clear" w:color="auto" w:fill="auto"/>
            <w:vAlign w:val="center"/>
          </w:tcPr>
          <w:p>
            <w:pPr>
              <w:widowControl/>
              <w:ind w:firstLine="0" w:firstLineChars="0"/>
              <w:rPr>
                <w:rFonts w:asciiTheme="minorEastAsia" w:hAnsiTheme="minorEastAsia" w:eastAsiaTheme="minorEastAsia" w:cstheme="minorEastAsia"/>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704" w:type="dxa"/>
            <w:vMerge w:val="restart"/>
            <w:shd w:val="clear" w:color="auto" w:fill="auto"/>
            <w:noWrap/>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2</w:t>
            </w:r>
          </w:p>
        </w:tc>
        <w:tc>
          <w:tcPr>
            <w:tcW w:w="1276" w:type="dxa"/>
            <w:vMerge w:val="restart"/>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产业基础</w:t>
            </w:r>
          </w:p>
        </w:tc>
        <w:tc>
          <w:tcPr>
            <w:tcW w:w="3402"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葡萄种植规模</w:t>
            </w:r>
          </w:p>
        </w:tc>
        <w:tc>
          <w:tcPr>
            <w:tcW w:w="992"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万亩</w:t>
            </w:r>
          </w:p>
        </w:tc>
        <w:tc>
          <w:tcPr>
            <w:tcW w:w="1067" w:type="dxa"/>
            <w:shd w:val="clear" w:color="auto" w:fill="auto"/>
            <w:vAlign w:val="center"/>
          </w:tcPr>
          <w:p>
            <w:pPr>
              <w:widowControl/>
              <w:ind w:firstLine="0" w:firstLineChars="0"/>
              <w:jc w:val="center"/>
              <w:rPr>
                <w:rFonts w:asciiTheme="minorEastAsia" w:hAnsiTheme="minorEastAsia" w:eastAsiaTheme="minorEastAsia" w:cstheme="minorEastAsia"/>
                <w:color w:val="000000" w:themeColor="text1"/>
                <w:kern w:val="0"/>
                <w:sz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14:textFill>
                  <w14:solidFill>
                    <w14:schemeClr w14:val="tx1"/>
                  </w14:solidFill>
                </w14:textFill>
              </w:rPr>
              <w:t>14.6</w:t>
            </w:r>
          </w:p>
        </w:tc>
        <w:tc>
          <w:tcPr>
            <w:tcW w:w="1267" w:type="dxa"/>
            <w:shd w:val="clear" w:color="auto" w:fill="auto"/>
            <w:vAlign w:val="center"/>
          </w:tcPr>
          <w:p>
            <w:pPr>
              <w:widowControl/>
              <w:ind w:firstLine="0" w:firstLineChars="0"/>
              <w:jc w:val="center"/>
              <w:rPr>
                <w:rFonts w:asciiTheme="minorEastAsia" w:hAnsiTheme="minorEastAsia" w:eastAsiaTheme="minorEastAsia" w:cstheme="minorEastAsia"/>
                <w:color w:val="000000" w:themeColor="text1"/>
                <w:kern w:val="0"/>
                <w:sz w:val="24"/>
                <w14:textFill>
                  <w14:solidFill>
                    <w14:schemeClr w14:val="tx1"/>
                  </w14:solidFill>
                </w14:textFill>
              </w:rPr>
            </w:pPr>
            <w:r>
              <w:rPr>
                <w:rFonts w:asciiTheme="minorEastAsia" w:hAnsiTheme="minorEastAsia" w:eastAsiaTheme="minorEastAsia" w:cstheme="minorEastAsia"/>
                <w:color w:val="000000" w:themeColor="text1"/>
                <w:kern w:val="0"/>
                <w:sz w:val="24"/>
                <w14:textFill>
                  <w14:solidFill>
                    <w14:schemeClr w14:val="tx1"/>
                  </w14:solidFill>
                </w14:textFill>
              </w:rPr>
              <w:t>16</w:t>
            </w:r>
          </w:p>
        </w:tc>
        <w:tc>
          <w:tcPr>
            <w:tcW w:w="785" w:type="dxa"/>
            <w:shd w:val="clear" w:color="auto" w:fill="auto"/>
            <w:vAlign w:val="center"/>
          </w:tcPr>
          <w:p>
            <w:pPr>
              <w:widowControl/>
              <w:ind w:firstLine="0" w:firstLineChars="0"/>
              <w:rPr>
                <w:rFonts w:asciiTheme="minorEastAsia" w:hAnsiTheme="minorEastAsia" w:eastAsiaTheme="minorEastAsia" w:cstheme="minorEastAsia"/>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704" w:type="dxa"/>
            <w:vMerge w:val="continue"/>
            <w:vAlign w:val="center"/>
          </w:tcPr>
          <w:p>
            <w:pPr>
              <w:widowControl/>
              <w:ind w:firstLine="0" w:firstLineChars="0"/>
              <w:jc w:val="left"/>
              <w:rPr>
                <w:rFonts w:asciiTheme="minorEastAsia" w:hAnsiTheme="minorEastAsia" w:eastAsiaTheme="minorEastAsia" w:cstheme="minorEastAsia"/>
                <w:color w:val="000000"/>
                <w:kern w:val="0"/>
                <w:sz w:val="24"/>
              </w:rPr>
            </w:pPr>
          </w:p>
        </w:tc>
        <w:tc>
          <w:tcPr>
            <w:tcW w:w="1276" w:type="dxa"/>
            <w:vMerge w:val="continue"/>
            <w:vAlign w:val="center"/>
          </w:tcPr>
          <w:p>
            <w:pPr>
              <w:widowControl/>
              <w:ind w:firstLine="0" w:firstLineChars="0"/>
              <w:jc w:val="left"/>
              <w:rPr>
                <w:rFonts w:asciiTheme="minorEastAsia" w:hAnsiTheme="minorEastAsia" w:eastAsiaTheme="minorEastAsia" w:cstheme="minorEastAsia"/>
                <w:color w:val="000000"/>
                <w:kern w:val="0"/>
                <w:sz w:val="24"/>
              </w:rPr>
            </w:pPr>
          </w:p>
        </w:tc>
        <w:tc>
          <w:tcPr>
            <w:tcW w:w="3402"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银杏种植规模</w:t>
            </w:r>
          </w:p>
        </w:tc>
        <w:tc>
          <w:tcPr>
            <w:tcW w:w="992"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万亩</w:t>
            </w:r>
          </w:p>
        </w:tc>
        <w:tc>
          <w:tcPr>
            <w:tcW w:w="1067" w:type="dxa"/>
            <w:shd w:val="clear" w:color="auto" w:fill="auto"/>
            <w:vAlign w:val="center"/>
          </w:tcPr>
          <w:p>
            <w:pPr>
              <w:widowControl/>
              <w:ind w:firstLine="0" w:firstLineChars="0"/>
              <w:jc w:val="center"/>
              <w:rPr>
                <w:rFonts w:asciiTheme="minorEastAsia" w:hAnsiTheme="minorEastAsia" w:eastAsiaTheme="minorEastAsia" w:cstheme="minorEastAsia"/>
                <w:color w:val="000000" w:themeColor="text1"/>
                <w:kern w:val="0"/>
                <w:sz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14:textFill>
                  <w14:solidFill>
                    <w14:schemeClr w14:val="tx1"/>
                  </w14:solidFill>
                </w14:textFill>
              </w:rPr>
              <w:t>15</w:t>
            </w:r>
          </w:p>
        </w:tc>
        <w:tc>
          <w:tcPr>
            <w:tcW w:w="1267" w:type="dxa"/>
            <w:shd w:val="clear" w:color="auto" w:fill="auto"/>
            <w:vAlign w:val="center"/>
          </w:tcPr>
          <w:p>
            <w:pPr>
              <w:widowControl/>
              <w:ind w:firstLine="0" w:firstLineChars="0"/>
              <w:jc w:val="center"/>
              <w:rPr>
                <w:rFonts w:asciiTheme="minorEastAsia" w:hAnsiTheme="minorEastAsia" w:eastAsiaTheme="minorEastAsia" w:cstheme="minorEastAsia"/>
                <w:color w:val="000000" w:themeColor="text1"/>
                <w:kern w:val="0"/>
                <w:sz w:val="24"/>
                <w14:textFill>
                  <w14:solidFill>
                    <w14:schemeClr w14:val="tx1"/>
                  </w14:solidFill>
                </w14:textFill>
              </w:rPr>
            </w:pPr>
            <w:r>
              <w:rPr>
                <w:rFonts w:asciiTheme="minorEastAsia" w:hAnsiTheme="minorEastAsia" w:eastAsiaTheme="minorEastAsia" w:cstheme="minorEastAsia"/>
                <w:color w:val="000000" w:themeColor="text1"/>
                <w:kern w:val="0"/>
                <w:sz w:val="24"/>
                <w14:textFill>
                  <w14:solidFill>
                    <w14:schemeClr w14:val="tx1"/>
                  </w14:solidFill>
                </w14:textFill>
              </w:rPr>
              <w:t>16</w:t>
            </w:r>
          </w:p>
        </w:tc>
        <w:tc>
          <w:tcPr>
            <w:tcW w:w="785" w:type="dxa"/>
            <w:shd w:val="clear" w:color="auto" w:fill="auto"/>
            <w:vAlign w:val="center"/>
          </w:tcPr>
          <w:p>
            <w:pPr>
              <w:widowControl/>
              <w:ind w:firstLine="0" w:firstLineChars="0"/>
              <w:rPr>
                <w:rFonts w:asciiTheme="minorEastAsia" w:hAnsiTheme="minorEastAsia" w:eastAsiaTheme="minorEastAsia" w:cstheme="minorEastAsia"/>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04" w:type="dxa"/>
            <w:vMerge w:val="continue"/>
            <w:vAlign w:val="center"/>
          </w:tcPr>
          <w:p>
            <w:pPr>
              <w:widowControl/>
              <w:ind w:firstLine="0" w:firstLineChars="0"/>
              <w:jc w:val="left"/>
              <w:rPr>
                <w:rFonts w:asciiTheme="minorEastAsia" w:hAnsiTheme="minorEastAsia" w:eastAsiaTheme="minorEastAsia" w:cstheme="minorEastAsia"/>
                <w:color w:val="000000"/>
                <w:kern w:val="0"/>
                <w:sz w:val="24"/>
              </w:rPr>
            </w:pPr>
          </w:p>
        </w:tc>
        <w:tc>
          <w:tcPr>
            <w:tcW w:w="1276" w:type="dxa"/>
            <w:vMerge w:val="continue"/>
            <w:vAlign w:val="center"/>
          </w:tcPr>
          <w:p>
            <w:pPr>
              <w:widowControl/>
              <w:ind w:firstLine="0" w:firstLineChars="0"/>
              <w:jc w:val="left"/>
              <w:rPr>
                <w:rFonts w:asciiTheme="minorEastAsia" w:hAnsiTheme="minorEastAsia" w:eastAsiaTheme="minorEastAsia" w:cstheme="minorEastAsia"/>
                <w:color w:val="000000"/>
                <w:kern w:val="0"/>
                <w:sz w:val="24"/>
              </w:rPr>
            </w:pPr>
          </w:p>
        </w:tc>
        <w:tc>
          <w:tcPr>
            <w:tcW w:w="3402"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甜玉米种植规模</w:t>
            </w:r>
          </w:p>
        </w:tc>
        <w:tc>
          <w:tcPr>
            <w:tcW w:w="992"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万亩</w:t>
            </w:r>
          </w:p>
        </w:tc>
        <w:tc>
          <w:tcPr>
            <w:tcW w:w="1067" w:type="dxa"/>
            <w:shd w:val="clear" w:color="auto" w:fill="auto"/>
            <w:vAlign w:val="center"/>
          </w:tcPr>
          <w:p>
            <w:pPr>
              <w:widowControl/>
              <w:ind w:firstLine="0" w:firstLineChars="0"/>
              <w:jc w:val="center"/>
              <w:rPr>
                <w:rFonts w:asciiTheme="minorEastAsia" w:hAnsiTheme="minorEastAsia" w:eastAsiaTheme="minorEastAsia" w:cstheme="minorEastAsia"/>
                <w:color w:val="000000" w:themeColor="text1"/>
                <w:kern w:val="0"/>
                <w:sz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14:textFill>
                  <w14:solidFill>
                    <w14:schemeClr w14:val="tx1"/>
                  </w14:solidFill>
                </w14:textFill>
              </w:rPr>
              <w:t>11</w:t>
            </w:r>
          </w:p>
        </w:tc>
        <w:tc>
          <w:tcPr>
            <w:tcW w:w="1267" w:type="dxa"/>
            <w:shd w:val="clear" w:color="auto" w:fill="auto"/>
            <w:vAlign w:val="center"/>
          </w:tcPr>
          <w:p>
            <w:pPr>
              <w:widowControl/>
              <w:ind w:firstLine="0" w:firstLineChars="0"/>
              <w:jc w:val="center"/>
              <w:rPr>
                <w:rFonts w:asciiTheme="minorEastAsia" w:hAnsiTheme="minorEastAsia" w:eastAsiaTheme="minorEastAsia" w:cstheme="minorEastAsia"/>
                <w:color w:val="000000" w:themeColor="text1"/>
                <w:kern w:val="0"/>
                <w:sz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14:textFill>
                  <w14:solidFill>
                    <w14:schemeClr w14:val="tx1"/>
                  </w14:solidFill>
                </w14:textFill>
              </w:rPr>
              <w:t>13</w:t>
            </w:r>
          </w:p>
        </w:tc>
        <w:tc>
          <w:tcPr>
            <w:tcW w:w="785" w:type="dxa"/>
            <w:shd w:val="clear" w:color="auto" w:fill="auto"/>
            <w:vAlign w:val="center"/>
          </w:tcPr>
          <w:p>
            <w:pPr>
              <w:widowControl/>
              <w:ind w:firstLine="0" w:firstLineChars="0"/>
              <w:rPr>
                <w:rFonts w:asciiTheme="minorEastAsia" w:hAnsiTheme="minorEastAsia" w:eastAsiaTheme="minorEastAsia" w:cstheme="minorEastAsia"/>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04" w:type="dxa"/>
            <w:vMerge w:val="continue"/>
            <w:vAlign w:val="center"/>
          </w:tcPr>
          <w:p>
            <w:pPr>
              <w:widowControl/>
              <w:ind w:firstLine="0" w:firstLineChars="0"/>
              <w:jc w:val="left"/>
              <w:rPr>
                <w:rFonts w:asciiTheme="minorEastAsia" w:hAnsiTheme="minorEastAsia" w:eastAsiaTheme="minorEastAsia" w:cstheme="minorEastAsia"/>
                <w:color w:val="000000"/>
                <w:kern w:val="0"/>
                <w:sz w:val="24"/>
              </w:rPr>
            </w:pPr>
          </w:p>
        </w:tc>
        <w:tc>
          <w:tcPr>
            <w:tcW w:w="1276" w:type="dxa"/>
            <w:vMerge w:val="continue"/>
            <w:vAlign w:val="center"/>
          </w:tcPr>
          <w:p>
            <w:pPr>
              <w:widowControl/>
              <w:ind w:firstLine="0" w:firstLineChars="0"/>
              <w:jc w:val="left"/>
              <w:rPr>
                <w:rFonts w:asciiTheme="minorEastAsia" w:hAnsiTheme="minorEastAsia" w:eastAsiaTheme="minorEastAsia" w:cstheme="minorEastAsia"/>
                <w:color w:val="000000"/>
                <w:kern w:val="0"/>
                <w:sz w:val="24"/>
              </w:rPr>
            </w:pPr>
          </w:p>
        </w:tc>
        <w:tc>
          <w:tcPr>
            <w:tcW w:w="3402"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柑桔种植规模</w:t>
            </w:r>
          </w:p>
        </w:tc>
        <w:tc>
          <w:tcPr>
            <w:tcW w:w="992"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万亩</w:t>
            </w:r>
          </w:p>
        </w:tc>
        <w:tc>
          <w:tcPr>
            <w:tcW w:w="1067" w:type="dxa"/>
            <w:shd w:val="clear" w:color="auto" w:fill="auto"/>
            <w:vAlign w:val="center"/>
          </w:tcPr>
          <w:p>
            <w:pPr>
              <w:widowControl/>
              <w:ind w:firstLine="0" w:firstLineChars="0"/>
              <w:jc w:val="center"/>
              <w:rPr>
                <w:rFonts w:asciiTheme="minorEastAsia" w:hAnsiTheme="minorEastAsia" w:eastAsiaTheme="minorEastAsia" w:cstheme="minorEastAsia"/>
                <w:color w:val="000000" w:themeColor="text1"/>
                <w:kern w:val="0"/>
                <w:sz w:val="24"/>
                <w14:textFill>
                  <w14:solidFill>
                    <w14:schemeClr w14:val="tx1"/>
                  </w14:solidFill>
                </w14:textFill>
              </w:rPr>
            </w:pPr>
            <w:r>
              <w:rPr>
                <w:rFonts w:asciiTheme="minorEastAsia" w:hAnsiTheme="minorEastAsia" w:eastAsiaTheme="minorEastAsia" w:cstheme="minorEastAsia"/>
                <w:color w:val="000000" w:themeColor="text1"/>
                <w:kern w:val="0"/>
                <w:sz w:val="24"/>
                <w14:textFill>
                  <w14:solidFill>
                    <w14:schemeClr w14:val="tx1"/>
                  </w14:solidFill>
                </w14:textFill>
              </w:rPr>
              <w:t>17</w:t>
            </w:r>
          </w:p>
        </w:tc>
        <w:tc>
          <w:tcPr>
            <w:tcW w:w="1267" w:type="dxa"/>
            <w:shd w:val="clear" w:color="auto" w:fill="auto"/>
            <w:vAlign w:val="center"/>
          </w:tcPr>
          <w:p>
            <w:pPr>
              <w:widowControl/>
              <w:ind w:firstLine="0" w:firstLineChars="0"/>
              <w:jc w:val="center"/>
              <w:rPr>
                <w:rFonts w:asciiTheme="minorEastAsia" w:hAnsiTheme="minorEastAsia" w:eastAsiaTheme="minorEastAsia" w:cstheme="minorEastAsia"/>
                <w:color w:val="000000" w:themeColor="text1"/>
                <w:kern w:val="0"/>
                <w:sz w:val="24"/>
                <w14:textFill>
                  <w14:solidFill>
                    <w14:schemeClr w14:val="tx1"/>
                  </w14:solidFill>
                </w14:textFill>
              </w:rPr>
            </w:pPr>
            <w:r>
              <w:rPr>
                <w:rFonts w:asciiTheme="minorEastAsia" w:hAnsiTheme="minorEastAsia" w:eastAsiaTheme="minorEastAsia" w:cstheme="minorEastAsia"/>
                <w:color w:val="000000" w:themeColor="text1"/>
                <w:kern w:val="0"/>
                <w:sz w:val="24"/>
                <w14:textFill>
                  <w14:solidFill>
                    <w14:schemeClr w14:val="tx1"/>
                  </w14:solidFill>
                </w14:textFill>
              </w:rPr>
              <w:t>18</w:t>
            </w:r>
          </w:p>
        </w:tc>
        <w:tc>
          <w:tcPr>
            <w:tcW w:w="785" w:type="dxa"/>
            <w:shd w:val="clear" w:color="auto" w:fill="auto"/>
            <w:vAlign w:val="center"/>
          </w:tcPr>
          <w:p>
            <w:pPr>
              <w:widowControl/>
              <w:ind w:firstLine="0" w:firstLineChars="0"/>
              <w:rPr>
                <w:rFonts w:asciiTheme="minorEastAsia" w:hAnsiTheme="minorEastAsia" w:eastAsiaTheme="minorEastAsia" w:cstheme="minorEastAsia"/>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04" w:type="dxa"/>
            <w:vMerge w:val="continue"/>
            <w:vAlign w:val="center"/>
          </w:tcPr>
          <w:p>
            <w:pPr>
              <w:widowControl/>
              <w:ind w:firstLine="0" w:firstLineChars="0"/>
              <w:jc w:val="left"/>
              <w:rPr>
                <w:rFonts w:asciiTheme="minorEastAsia" w:hAnsiTheme="minorEastAsia" w:eastAsiaTheme="minorEastAsia" w:cstheme="minorEastAsia"/>
                <w:color w:val="000000"/>
                <w:kern w:val="0"/>
                <w:sz w:val="24"/>
              </w:rPr>
            </w:pPr>
          </w:p>
        </w:tc>
        <w:tc>
          <w:tcPr>
            <w:tcW w:w="1276" w:type="dxa"/>
            <w:vMerge w:val="continue"/>
            <w:vAlign w:val="center"/>
          </w:tcPr>
          <w:p>
            <w:pPr>
              <w:widowControl/>
              <w:ind w:firstLine="0" w:firstLineChars="0"/>
              <w:jc w:val="left"/>
              <w:rPr>
                <w:rFonts w:asciiTheme="minorEastAsia" w:hAnsiTheme="minorEastAsia" w:eastAsiaTheme="minorEastAsia" w:cstheme="minorEastAsia"/>
                <w:color w:val="000000"/>
                <w:kern w:val="0"/>
                <w:sz w:val="24"/>
              </w:rPr>
            </w:pPr>
          </w:p>
        </w:tc>
        <w:tc>
          <w:tcPr>
            <w:tcW w:w="3402"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食用菌种植规模</w:t>
            </w:r>
          </w:p>
        </w:tc>
        <w:tc>
          <w:tcPr>
            <w:tcW w:w="992"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平方米</w:t>
            </w:r>
          </w:p>
        </w:tc>
        <w:tc>
          <w:tcPr>
            <w:tcW w:w="1067" w:type="dxa"/>
            <w:shd w:val="clear" w:color="auto" w:fill="auto"/>
            <w:vAlign w:val="center"/>
          </w:tcPr>
          <w:p>
            <w:pPr>
              <w:widowControl/>
              <w:ind w:firstLine="0" w:firstLineChars="0"/>
              <w:jc w:val="center"/>
              <w:rPr>
                <w:rFonts w:asciiTheme="minorEastAsia" w:hAnsiTheme="minorEastAsia" w:eastAsiaTheme="minorEastAsia" w:cstheme="minorEastAsia"/>
                <w:color w:val="000000" w:themeColor="text1"/>
                <w:kern w:val="0"/>
                <w:sz w:val="24"/>
                <w14:textFill>
                  <w14:solidFill>
                    <w14:schemeClr w14:val="tx1"/>
                  </w14:solidFill>
                </w14:textFill>
              </w:rPr>
            </w:pPr>
            <w:r>
              <w:rPr>
                <w:rFonts w:asciiTheme="minorEastAsia" w:hAnsiTheme="minorEastAsia" w:eastAsiaTheme="minorEastAsia" w:cstheme="minorEastAsia"/>
                <w:color w:val="000000" w:themeColor="text1"/>
                <w:kern w:val="0"/>
                <w:sz w:val="24"/>
                <w14:textFill>
                  <w14:solidFill>
                    <w14:schemeClr w14:val="tx1"/>
                  </w14:solidFill>
                </w14:textFill>
              </w:rPr>
              <w:t>560</w:t>
            </w:r>
          </w:p>
        </w:tc>
        <w:tc>
          <w:tcPr>
            <w:tcW w:w="1267" w:type="dxa"/>
            <w:shd w:val="clear" w:color="auto" w:fill="auto"/>
            <w:vAlign w:val="center"/>
          </w:tcPr>
          <w:p>
            <w:pPr>
              <w:widowControl/>
              <w:ind w:firstLine="0" w:firstLineChars="0"/>
              <w:jc w:val="center"/>
              <w:rPr>
                <w:rFonts w:asciiTheme="minorEastAsia" w:hAnsiTheme="minorEastAsia" w:eastAsiaTheme="minorEastAsia" w:cstheme="minorEastAsia"/>
                <w:color w:val="000000" w:themeColor="text1"/>
                <w:kern w:val="0"/>
                <w:sz w:val="24"/>
                <w14:textFill>
                  <w14:solidFill>
                    <w14:schemeClr w14:val="tx1"/>
                  </w14:solidFill>
                </w14:textFill>
              </w:rPr>
            </w:pPr>
            <w:r>
              <w:rPr>
                <w:rFonts w:asciiTheme="minorEastAsia" w:hAnsiTheme="minorEastAsia" w:eastAsiaTheme="minorEastAsia" w:cstheme="minorEastAsia"/>
                <w:color w:val="000000" w:themeColor="text1"/>
                <w:kern w:val="0"/>
                <w:sz w:val="24"/>
                <w14:textFill>
                  <w14:solidFill>
                    <w14:schemeClr w14:val="tx1"/>
                  </w14:solidFill>
                </w14:textFill>
              </w:rPr>
              <w:t>600</w:t>
            </w:r>
          </w:p>
        </w:tc>
        <w:tc>
          <w:tcPr>
            <w:tcW w:w="785" w:type="dxa"/>
            <w:shd w:val="clear" w:color="auto" w:fill="auto"/>
            <w:vAlign w:val="center"/>
          </w:tcPr>
          <w:p>
            <w:pPr>
              <w:widowControl/>
              <w:ind w:firstLine="0" w:firstLineChars="0"/>
              <w:rPr>
                <w:rFonts w:asciiTheme="minorEastAsia" w:hAnsiTheme="minorEastAsia" w:eastAsiaTheme="minorEastAsia" w:cstheme="minorEastAsia"/>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4"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Theme="minorEastAsia" w:hAnsiTheme="minorEastAsia" w:eastAsiaTheme="minorEastAsia" w:cstheme="minorEastAsia"/>
                <w:color w:val="000000"/>
                <w:kern w:val="0"/>
                <w:sz w:val="24"/>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Theme="minorEastAsia" w:hAnsiTheme="minorEastAsia" w:eastAsiaTheme="minorEastAsia" w:cstheme="minorEastAsia"/>
                <w:color w:val="000000"/>
                <w:kern w:val="0"/>
                <w:sz w:val="24"/>
              </w:rPr>
            </w:pPr>
          </w:p>
        </w:tc>
        <w:tc>
          <w:tcPr>
            <w:tcW w:w="34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特色主导产业链比重</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w:t>
            </w:r>
          </w:p>
        </w:tc>
        <w:tc>
          <w:tcPr>
            <w:tcW w:w="10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Theme="minorEastAsia" w:hAnsiTheme="minorEastAsia" w:eastAsiaTheme="minorEastAsia" w:cstheme="minorEastAsia"/>
                <w:color w:val="000000" w:themeColor="text1"/>
                <w:kern w:val="0"/>
                <w:sz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14:textFill>
                  <w14:solidFill>
                    <w14:schemeClr w14:val="tx1"/>
                  </w14:solidFill>
                </w14:textFill>
              </w:rPr>
              <w:t>--</w:t>
            </w:r>
          </w:p>
        </w:tc>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Theme="minorEastAsia" w:hAnsiTheme="minorEastAsia" w:eastAsiaTheme="minorEastAsia" w:cstheme="minorEastAsia"/>
                <w:color w:val="000000" w:themeColor="text1"/>
                <w:kern w:val="0"/>
                <w:sz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14:textFill>
                  <w14:solidFill>
                    <w14:schemeClr w14:val="tx1"/>
                  </w14:solidFill>
                </w14:textFill>
              </w:rPr>
              <w:t>70%以上</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asciiTheme="minorEastAsia" w:hAnsiTheme="minorEastAsia" w:eastAsiaTheme="minorEastAsia" w:cstheme="minorEastAsia"/>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Theme="minorEastAsia" w:hAnsiTheme="minorEastAsia" w:eastAsiaTheme="minorEastAsia" w:cstheme="minorEastAsia"/>
                <w:color w:val="000000"/>
                <w:kern w:val="0"/>
                <w:sz w:val="24"/>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Theme="minorEastAsia" w:hAnsiTheme="minorEastAsia" w:eastAsiaTheme="minorEastAsia" w:cstheme="minorEastAsia"/>
                <w:color w:val="000000"/>
                <w:kern w:val="0"/>
                <w:sz w:val="24"/>
              </w:rPr>
            </w:pPr>
          </w:p>
        </w:tc>
        <w:tc>
          <w:tcPr>
            <w:tcW w:w="34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特色主导产品的产地专业市场数量</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个</w:t>
            </w:r>
          </w:p>
        </w:tc>
        <w:tc>
          <w:tcPr>
            <w:tcW w:w="10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1</w:t>
            </w:r>
          </w:p>
        </w:tc>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4</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asciiTheme="minorEastAsia" w:hAnsiTheme="minorEastAsia" w:eastAsiaTheme="minorEastAsia" w:cstheme="minorEastAsia"/>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04"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Theme="minorEastAsia" w:hAnsiTheme="minorEastAsia" w:eastAsiaTheme="minorEastAsia" w:cstheme="minorEastAsia"/>
                <w:color w:val="000000"/>
                <w:kern w:val="0"/>
                <w:sz w:val="24"/>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Theme="minorEastAsia" w:hAnsiTheme="minorEastAsia" w:eastAsiaTheme="minorEastAsia" w:cstheme="minorEastAsia"/>
                <w:color w:val="000000"/>
                <w:kern w:val="0"/>
                <w:sz w:val="24"/>
              </w:rPr>
            </w:pPr>
          </w:p>
        </w:tc>
        <w:tc>
          <w:tcPr>
            <w:tcW w:w="34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通过电商销售比例</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w:t>
            </w:r>
          </w:p>
        </w:tc>
        <w:tc>
          <w:tcPr>
            <w:tcW w:w="10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w:t>
            </w:r>
          </w:p>
        </w:tc>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50%以上</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asciiTheme="minorEastAsia" w:hAnsiTheme="minorEastAsia" w:eastAsiaTheme="minorEastAsia" w:cstheme="minorEastAsia"/>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704"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Theme="minorEastAsia" w:hAnsiTheme="minorEastAsia" w:eastAsiaTheme="minorEastAsia" w:cstheme="minorEastAsia"/>
                <w:color w:val="000000"/>
                <w:kern w:val="0"/>
                <w:sz w:val="24"/>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Theme="minorEastAsia" w:hAnsiTheme="minorEastAsia" w:eastAsiaTheme="minorEastAsia" w:cstheme="minorEastAsia"/>
                <w:color w:val="000000"/>
                <w:kern w:val="0"/>
                <w:sz w:val="24"/>
              </w:rPr>
            </w:pPr>
          </w:p>
        </w:tc>
        <w:tc>
          <w:tcPr>
            <w:tcW w:w="34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特色主导产品商品率</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w:t>
            </w:r>
          </w:p>
        </w:tc>
        <w:tc>
          <w:tcPr>
            <w:tcW w:w="10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60</w:t>
            </w:r>
          </w:p>
        </w:tc>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80%以上</w:t>
            </w:r>
          </w:p>
        </w:tc>
        <w:tc>
          <w:tcPr>
            <w:tcW w:w="7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asciiTheme="minorEastAsia" w:hAnsiTheme="minorEastAsia" w:eastAsiaTheme="minorEastAsia" w:cstheme="minorEastAsia"/>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704" w:type="dxa"/>
            <w:vMerge w:val="restart"/>
            <w:tcBorders>
              <w:top w:val="single" w:color="auto" w:sz="4" w:space="0"/>
            </w:tcBorders>
            <w:shd w:val="clear" w:color="auto" w:fill="auto"/>
            <w:noWrap/>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4</w:t>
            </w:r>
          </w:p>
        </w:tc>
        <w:tc>
          <w:tcPr>
            <w:tcW w:w="1276" w:type="dxa"/>
            <w:vMerge w:val="restart"/>
            <w:tcBorders>
              <w:top w:val="single" w:color="auto" w:sz="4" w:space="0"/>
            </w:tcBorders>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科技支撑</w:t>
            </w:r>
          </w:p>
        </w:tc>
        <w:tc>
          <w:tcPr>
            <w:tcW w:w="3402" w:type="dxa"/>
            <w:tcBorders>
              <w:top w:val="single" w:color="auto" w:sz="4" w:space="0"/>
            </w:tcBorders>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建立主导产品合作科研机构数量</w:t>
            </w:r>
          </w:p>
        </w:tc>
        <w:tc>
          <w:tcPr>
            <w:tcW w:w="992" w:type="dxa"/>
            <w:tcBorders>
              <w:top w:val="single" w:color="auto" w:sz="4" w:space="0"/>
            </w:tcBorders>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个</w:t>
            </w:r>
          </w:p>
        </w:tc>
        <w:tc>
          <w:tcPr>
            <w:tcW w:w="1067" w:type="dxa"/>
            <w:tcBorders>
              <w:top w:val="single" w:color="auto" w:sz="4" w:space="0"/>
            </w:tcBorders>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3</w:t>
            </w:r>
          </w:p>
        </w:tc>
        <w:tc>
          <w:tcPr>
            <w:tcW w:w="1267" w:type="dxa"/>
            <w:tcBorders>
              <w:top w:val="single" w:color="auto" w:sz="4" w:space="0"/>
            </w:tcBorders>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5</w:t>
            </w:r>
          </w:p>
        </w:tc>
        <w:tc>
          <w:tcPr>
            <w:tcW w:w="785" w:type="dxa"/>
            <w:tcBorders>
              <w:top w:val="single" w:color="auto" w:sz="4" w:space="0"/>
            </w:tcBorders>
            <w:shd w:val="clear" w:color="auto" w:fill="auto"/>
            <w:vAlign w:val="center"/>
          </w:tcPr>
          <w:p>
            <w:pPr>
              <w:widowControl/>
              <w:ind w:firstLine="0" w:firstLineChars="0"/>
              <w:rPr>
                <w:rFonts w:asciiTheme="minorEastAsia" w:hAnsiTheme="minorEastAsia" w:eastAsiaTheme="minorEastAsia" w:cstheme="minorEastAsia"/>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4" w:type="dxa"/>
            <w:vMerge w:val="continue"/>
            <w:vAlign w:val="center"/>
          </w:tcPr>
          <w:p>
            <w:pPr>
              <w:widowControl/>
              <w:ind w:firstLine="0" w:firstLineChars="0"/>
              <w:jc w:val="left"/>
              <w:rPr>
                <w:rFonts w:asciiTheme="minorEastAsia" w:hAnsiTheme="minorEastAsia" w:eastAsiaTheme="minorEastAsia" w:cstheme="minorEastAsia"/>
                <w:color w:val="000000"/>
                <w:kern w:val="0"/>
                <w:sz w:val="24"/>
              </w:rPr>
            </w:pPr>
          </w:p>
        </w:tc>
        <w:tc>
          <w:tcPr>
            <w:tcW w:w="1276" w:type="dxa"/>
            <w:vMerge w:val="continue"/>
            <w:vAlign w:val="center"/>
          </w:tcPr>
          <w:p>
            <w:pPr>
              <w:widowControl/>
              <w:ind w:firstLine="0" w:firstLineChars="0"/>
              <w:jc w:val="left"/>
              <w:rPr>
                <w:rFonts w:asciiTheme="minorEastAsia" w:hAnsiTheme="minorEastAsia" w:eastAsiaTheme="minorEastAsia" w:cstheme="minorEastAsia"/>
                <w:color w:val="000000"/>
                <w:kern w:val="0"/>
                <w:sz w:val="24"/>
              </w:rPr>
            </w:pPr>
          </w:p>
        </w:tc>
        <w:tc>
          <w:tcPr>
            <w:tcW w:w="3402"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建立特色主导产品的地方标准数量</w:t>
            </w:r>
          </w:p>
        </w:tc>
        <w:tc>
          <w:tcPr>
            <w:tcW w:w="992"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个</w:t>
            </w:r>
          </w:p>
        </w:tc>
        <w:tc>
          <w:tcPr>
            <w:tcW w:w="1067"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4</w:t>
            </w:r>
          </w:p>
        </w:tc>
        <w:tc>
          <w:tcPr>
            <w:tcW w:w="1267"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5</w:t>
            </w:r>
          </w:p>
        </w:tc>
        <w:tc>
          <w:tcPr>
            <w:tcW w:w="785" w:type="dxa"/>
            <w:shd w:val="clear" w:color="auto" w:fill="auto"/>
            <w:vAlign w:val="center"/>
          </w:tcPr>
          <w:p>
            <w:pPr>
              <w:widowControl/>
              <w:ind w:firstLine="0" w:firstLineChars="0"/>
              <w:rPr>
                <w:rFonts w:asciiTheme="minorEastAsia" w:hAnsiTheme="minorEastAsia" w:eastAsiaTheme="minorEastAsia" w:cstheme="minorEastAsia"/>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704" w:type="dxa"/>
            <w:vMerge w:val="continue"/>
            <w:vAlign w:val="center"/>
          </w:tcPr>
          <w:p>
            <w:pPr>
              <w:widowControl/>
              <w:ind w:firstLine="0" w:firstLineChars="0"/>
              <w:jc w:val="left"/>
              <w:rPr>
                <w:rFonts w:asciiTheme="minorEastAsia" w:hAnsiTheme="minorEastAsia" w:eastAsiaTheme="minorEastAsia" w:cstheme="minorEastAsia"/>
                <w:color w:val="000000"/>
                <w:kern w:val="0"/>
                <w:sz w:val="24"/>
              </w:rPr>
            </w:pPr>
          </w:p>
        </w:tc>
        <w:tc>
          <w:tcPr>
            <w:tcW w:w="1276" w:type="dxa"/>
            <w:vMerge w:val="continue"/>
            <w:vAlign w:val="center"/>
          </w:tcPr>
          <w:p>
            <w:pPr>
              <w:widowControl/>
              <w:ind w:firstLine="0" w:firstLineChars="0"/>
              <w:jc w:val="left"/>
              <w:rPr>
                <w:rFonts w:asciiTheme="minorEastAsia" w:hAnsiTheme="minorEastAsia" w:eastAsiaTheme="minorEastAsia" w:cstheme="minorEastAsia"/>
                <w:color w:val="000000"/>
                <w:kern w:val="0"/>
                <w:sz w:val="24"/>
              </w:rPr>
            </w:pPr>
          </w:p>
        </w:tc>
        <w:tc>
          <w:tcPr>
            <w:tcW w:w="3402"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绿色食品标准化生产比重</w:t>
            </w:r>
          </w:p>
        </w:tc>
        <w:tc>
          <w:tcPr>
            <w:tcW w:w="992"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w:t>
            </w:r>
          </w:p>
        </w:tc>
        <w:tc>
          <w:tcPr>
            <w:tcW w:w="1067"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softHyphen/>
            </w:r>
            <w:r>
              <w:rPr>
                <w:rFonts w:hint="eastAsia" w:asciiTheme="minorEastAsia" w:hAnsiTheme="minorEastAsia" w:eastAsiaTheme="minorEastAsia" w:cstheme="minorEastAsia"/>
                <w:color w:val="000000"/>
                <w:kern w:val="0"/>
                <w:sz w:val="24"/>
              </w:rPr>
              <w:softHyphen/>
            </w:r>
            <w:r>
              <w:rPr>
                <w:rFonts w:asciiTheme="minorEastAsia" w:hAnsiTheme="minorEastAsia" w:eastAsiaTheme="minorEastAsia" w:cstheme="minorEastAsia"/>
                <w:color w:val="000000"/>
                <w:kern w:val="0"/>
                <w:sz w:val="24"/>
              </w:rPr>
              <w:t>15</w:t>
            </w:r>
          </w:p>
        </w:tc>
        <w:tc>
          <w:tcPr>
            <w:tcW w:w="1267"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60%以上</w:t>
            </w:r>
          </w:p>
        </w:tc>
        <w:tc>
          <w:tcPr>
            <w:tcW w:w="785" w:type="dxa"/>
            <w:shd w:val="clear" w:color="auto" w:fill="auto"/>
            <w:vAlign w:val="center"/>
          </w:tcPr>
          <w:p>
            <w:pPr>
              <w:widowControl/>
              <w:ind w:firstLine="0" w:firstLineChars="0"/>
              <w:rPr>
                <w:rFonts w:asciiTheme="minorEastAsia" w:hAnsiTheme="minorEastAsia" w:eastAsiaTheme="minorEastAsia" w:cstheme="minorEastAsia"/>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04" w:type="dxa"/>
            <w:vMerge w:val="continue"/>
            <w:vAlign w:val="center"/>
          </w:tcPr>
          <w:p>
            <w:pPr>
              <w:widowControl/>
              <w:ind w:firstLine="0" w:firstLineChars="0"/>
              <w:jc w:val="left"/>
              <w:rPr>
                <w:rFonts w:asciiTheme="minorEastAsia" w:hAnsiTheme="minorEastAsia" w:eastAsiaTheme="minorEastAsia" w:cstheme="minorEastAsia"/>
                <w:color w:val="000000"/>
                <w:kern w:val="0"/>
                <w:sz w:val="24"/>
              </w:rPr>
            </w:pPr>
          </w:p>
        </w:tc>
        <w:tc>
          <w:tcPr>
            <w:tcW w:w="1276" w:type="dxa"/>
            <w:vMerge w:val="continue"/>
            <w:vAlign w:val="center"/>
          </w:tcPr>
          <w:p>
            <w:pPr>
              <w:widowControl/>
              <w:ind w:firstLine="0" w:firstLineChars="0"/>
              <w:jc w:val="left"/>
              <w:rPr>
                <w:rFonts w:asciiTheme="minorEastAsia" w:hAnsiTheme="minorEastAsia" w:eastAsiaTheme="minorEastAsia" w:cstheme="minorEastAsia"/>
                <w:color w:val="000000"/>
                <w:kern w:val="0"/>
                <w:sz w:val="24"/>
              </w:rPr>
            </w:pPr>
          </w:p>
        </w:tc>
        <w:tc>
          <w:tcPr>
            <w:tcW w:w="3402"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bookmarkStart w:id="87" w:name="RANGE!C21"/>
            <w:r>
              <w:rPr>
                <w:rFonts w:hint="eastAsia" w:asciiTheme="minorEastAsia" w:hAnsiTheme="minorEastAsia" w:eastAsiaTheme="minorEastAsia" w:cstheme="minorEastAsia"/>
                <w:color w:val="000000"/>
                <w:kern w:val="0"/>
                <w:sz w:val="24"/>
              </w:rPr>
              <w:t>推行“一品一码”占比</w:t>
            </w:r>
            <w:bookmarkEnd w:id="87"/>
          </w:p>
        </w:tc>
        <w:tc>
          <w:tcPr>
            <w:tcW w:w="992"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w:t>
            </w:r>
          </w:p>
        </w:tc>
        <w:tc>
          <w:tcPr>
            <w:tcW w:w="1067"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w:t>
            </w:r>
          </w:p>
        </w:tc>
        <w:tc>
          <w:tcPr>
            <w:tcW w:w="1267"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60%以上</w:t>
            </w:r>
          </w:p>
        </w:tc>
        <w:tc>
          <w:tcPr>
            <w:tcW w:w="785" w:type="dxa"/>
            <w:shd w:val="clear" w:color="auto" w:fill="auto"/>
            <w:vAlign w:val="center"/>
          </w:tcPr>
          <w:p>
            <w:pPr>
              <w:widowControl/>
              <w:ind w:firstLine="0" w:firstLineChars="0"/>
              <w:rPr>
                <w:rFonts w:asciiTheme="minorEastAsia" w:hAnsiTheme="minorEastAsia" w:eastAsiaTheme="minorEastAsia" w:cstheme="minorEastAsia"/>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vMerge w:val="continue"/>
            <w:vAlign w:val="center"/>
          </w:tcPr>
          <w:p>
            <w:pPr>
              <w:widowControl/>
              <w:ind w:firstLine="0" w:firstLineChars="0"/>
              <w:jc w:val="left"/>
              <w:rPr>
                <w:rFonts w:asciiTheme="minorEastAsia" w:hAnsiTheme="minorEastAsia" w:eastAsiaTheme="minorEastAsia" w:cstheme="minorEastAsia"/>
                <w:color w:val="000000"/>
                <w:kern w:val="0"/>
                <w:sz w:val="24"/>
              </w:rPr>
            </w:pPr>
          </w:p>
        </w:tc>
        <w:tc>
          <w:tcPr>
            <w:tcW w:w="1276" w:type="dxa"/>
            <w:vMerge w:val="continue"/>
            <w:vAlign w:val="center"/>
          </w:tcPr>
          <w:p>
            <w:pPr>
              <w:widowControl/>
              <w:ind w:firstLine="0" w:firstLineChars="0"/>
              <w:jc w:val="left"/>
              <w:rPr>
                <w:rFonts w:asciiTheme="minorEastAsia" w:hAnsiTheme="minorEastAsia" w:eastAsiaTheme="minorEastAsia" w:cstheme="minorEastAsia"/>
                <w:color w:val="000000"/>
                <w:kern w:val="0"/>
                <w:sz w:val="24"/>
              </w:rPr>
            </w:pPr>
          </w:p>
        </w:tc>
        <w:tc>
          <w:tcPr>
            <w:tcW w:w="3402"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建立特色主导产品质量监管机构数量</w:t>
            </w:r>
          </w:p>
        </w:tc>
        <w:tc>
          <w:tcPr>
            <w:tcW w:w="992"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个</w:t>
            </w:r>
          </w:p>
        </w:tc>
        <w:tc>
          <w:tcPr>
            <w:tcW w:w="1067"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asciiTheme="minorEastAsia" w:hAnsiTheme="minorEastAsia" w:eastAsiaTheme="minorEastAsia" w:cstheme="minorEastAsia"/>
                <w:color w:val="000000"/>
                <w:kern w:val="0"/>
                <w:sz w:val="24"/>
              </w:rPr>
              <w:t>1</w:t>
            </w:r>
          </w:p>
        </w:tc>
        <w:tc>
          <w:tcPr>
            <w:tcW w:w="1267"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asciiTheme="minorEastAsia" w:hAnsiTheme="minorEastAsia" w:eastAsiaTheme="minorEastAsia" w:cstheme="minorEastAsia"/>
                <w:color w:val="000000"/>
                <w:kern w:val="0"/>
                <w:sz w:val="24"/>
              </w:rPr>
              <w:t>5</w:t>
            </w:r>
          </w:p>
        </w:tc>
        <w:tc>
          <w:tcPr>
            <w:tcW w:w="785" w:type="dxa"/>
            <w:shd w:val="clear" w:color="auto" w:fill="auto"/>
            <w:vAlign w:val="center"/>
          </w:tcPr>
          <w:p>
            <w:pPr>
              <w:widowControl/>
              <w:ind w:firstLine="0" w:firstLineChars="0"/>
              <w:rPr>
                <w:rFonts w:asciiTheme="minorEastAsia" w:hAnsiTheme="minorEastAsia" w:eastAsiaTheme="minorEastAsia" w:cstheme="minorEastAsia"/>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04" w:type="dxa"/>
            <w:vMerge w:val="restart"/>
            <w:shd w:val="clear" w:color="auto" w:fill="auto"/>
            <w:noWrap/>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6</w:t>
            </w:r>
          </w:p>
        </w:tc>
        <w:tc>
          <w:tcPr>
            <w:tcW w:w="1276" w:type="dxa"/>
            <w:vMerge w:val="restart"/>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品牌建设</w:t>
            </w:r>
          </w:p>
        </w:tc>
        <w:tc>
          <w:tcPr>
            <w:tcW w:w="3402"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地理标志等认证</w:t>
            </w:r>
          </w:p>
        </w:tc>
        <w:tc>
          <w:tcPr>
            <w:tcW w:w="992"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个</w:t>
            </w:r>
          </w:p>
        </w:tc>
        <w:tc>
          <w:tcPr>
            <w:tcW w:w="1067"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1</w:t>
            </w:r>
          </w:p>
        </w:tc>
        <w:tc>
          <w:tcPr>
            <w:tcW w:w="1267"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2</w:t>
            </w:r>
          </w:p>
        </w:tc>
        <w:tc>
          <w:tcPr>
            <w:tcW w:w="785" w:type="dxa"/>
            <w:shd w:val="clear" w:color="auto" w:fill="auto"/>
            <w:vAlign w:val="center"/>
          </w:tcPr>
          <w:p>
            <w:pPr>
              <w:widowControl/>
              <w:ind w:firstLine="0" w:firstLineChars="0"/>
              <w:rPr>
                <w:rFonts w:asciiTheme="minorEastAsia" w:hAnsiTheme="minorEastAsia" w:eastAsiaTheme="minorEastAsia" w:cstheme="minorEastAsia"/>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04" w:type="dxa"/>
            <w:vMerge w:val="continue"/>
            <w:vAlign w:val="center"/>
          </w:tcPr>
          <w:p>
            <w:pPr>
              <w:widowControl/>
              <w:ind w:firstLine="0" w:firstLineChars="0"/>
              <w:jc w:val="left"/>
              <w:rPr>
                <w:rFonts w:asciiTheme="minorEastAsia" w:hAnsiTheme="minorEastAsia" w:eastAsiaTheme="minorEastAsia" w:cstheme="minorEastAsia"/>
                <w:color w:val="000000"/>
                <w:kern w:val="0"/>
                <w:sz w:val="24"/>
              </w:rPr>
            </w:pPr>
          </w:p>
        </w:tc>
        <w:tc>
          <w:tcPr>
            <w:tcW w:w="1276" w:type="dxa"/>
            <w:vMerge w:val="continue"/>
            <w:vAlign w:val="center"/>
          </w:tcPr>
          <w:p>
            <w:pPr>
              <w:widowControl/>
              <w:ind w:firstLine="0" w:firstLineChars="0"/>
              <w:jc w:val="left"/>
              <w:rPr>
                <w:rFonts w:asciiTheme="minorEastAsia" w:hAnsiTheme="minorEastAsia" w:eastAsiaTheme="minorEastAsia" w:cstheme="minorEastAsia"/>
                <w:color w:val="000000"/>
                <w:kern w:val="0"/>
                <w:sz w:val="24"/>
              </w:rPr>
            </w:pPr>
          </w:p>
        </w:tc>
        <w:tc>
          <w:tcPr>
            <w:tcW w:w="3402"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建立区域公用品牌数量</w:t>
            </w:r>
          </w:p>
        </w:tc>
        <w:tc>
          <w:tcPr>
            <w:tcW w:w="992"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个</w:t>
            </w:r>
          </w:p>
        </w:tc>
        <w:tc>
          <w:tcPr>
            <w:tcW w:w="1067"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4</w:t>
            </w:r>
          </w:p>
        </w:tc>
        <w:tc>
          <w:tcPr>
            <w:tcW w:w="1267"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5</w:t>
            </w:r>
          </w:p>
        </w:tc>
        <w:tc>
          <w:tcPr>
            <w:tcW w:w="785" w:type="dxa"/>
            <w:shd w:val="clear" w:color="auto" w:fill="auto"/>
            <w:vAlign w:val="center"/>
          </w:tcPr>
          <w:p>
            <w:pPr>
              <w:widowControl/>
              <w:ind w:firstLine="0" w:firstLineChars="0"/>
              <w:rPr>
                <w:rFonts w:asciiTheme="minorEastAsia" w:hAnsiTheme="minorEastAsia" w:eastAsiaTheme="minorEastAsia" w:cstheme="minorEastAsia"/>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704" w:type="dxa"/>
            <w:vMerge w:val="continue"/>
            <w:vAlign w:val="center"/>
          </w:tcPr>
          <w:p>
            <w:pPr>
              <w:widowControl/>
              <w:ind w:firstLine="0" w:firstLineChars="0"/>
              <w:jc w:val="left"/>
              <w:rPr>
                <w:rFonts w:asciiTheme="minorEastAsia" w:hAnsiTheme="minorEastAsia" w:eastAsiaTheme="minorEastAsia" w:cstheme="minorEastAsia"/>
                <w:color w:val="000000"/>
                <w:kern w:val="0"/>
                <w:sz w:val="24"/>
              </w:rPr>
            </w:pPr>
          </w:p>
        </w:tc>
        <w:tc>
          <w:tcPr>
            <w:tcW w:w="1276" w:type="dxa"/>
            <w:vMerge w:val="continue"/>
            <w:vAlign w:val="center"/>
          </w:tcPr>
          <w:p>
            <w:pPr>
              <w:widowControl/>
              <w:ind w:firstLine="0" w:firstLineChars="0"/>
              <w:jc w:val="left"/>
              <w:rPr>
                <w:rFonts w:asciiTheme="minorEastAsia" w:hAnsiTheme="minorEastAsia" w:eastAsiaTheme="minorEastAsia" w:cstheme="minorEastAsia"/>
                <w:color w:val="000000"/>
                <w:kern w:val="0"/>
                <w:sz w:val="24"/>
              </w:rPr>
            </w:pPr>
          </w:p>
        </w:tc>
        <w:tc>
          <w:tcPr>
            <w:tcW w:w="3402"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区域公用品牌授权使用比重</w:t>
            </w:r>
          </w:p>
        </w:tc>
        <w:tc>
          <w:tcPr>
            <w:tcW w:w="992"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w:t>
            </w:r>
          </w:p>
        </w:tc>
        <w:tc>
          <w:tcPr>
            <w:tcW w:w="1067"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w:t>
            </w:r>
          </w:p>
        </w:tc>
        <w:tc>
          <w:tcPr>
            <w:tcW w:w="1267"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85%以上</w:t>
            </w:r>
          </w:p>
        </w:tc>
        <w:tc>
          <w:tcPr>
            <w:tcW w:w="785" w:type="dxa"/>
            <w:shd w:val="clear" w:color="auto" w:fill="auto"/>
            <w:vAlign w:val="center"/>
          </w:tcPr>
          <w:p>
            <w:pPr>
              <w:widowControl/>
              <w:ind w:firstLine="0" w:firstLineChars="0"/>
              <w:rPr>
                <w:rFonts w:asciiTheme="minorEastAsia" w:hAnsiTheme="minorEastAsia" w:eastAsiaTheme="minorEastAsia" w:cstheme="minorEastAsia"/>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704" w:type="dxa"/>
            <w:vMerge w:val="restart"/>
            <w:shd w:val="clear" w:color="auto" w:fill="auto"/>
            <w:noWrap/>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7</w:t>
            </w:r>
          </w:p>
        </w:tc>
        <w:tc>
          <w:tcPr>
            <w:tcW w:w="1276" w:type="dxa"/>
            <w:vMerge w:val="restart"/>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利益机制</w:t>
            </w:r>
          </w:p>
        </w:tc>
        <w:tc>
          <w:tcPr>
            <w:tcW w:w="3402"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区级以上龙头企业数量</w:t>
            </w:r>
          </w:p>
        </w:tc>
        <w:tc>
          <w:tcPr>
            <w:tcW w:w="992"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个</w:t>
            </w:r>
          </w:p>
        </w:tc>
        <w:tc>
          <w:tcPr>
            <w:tcW w:w="1067"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w:t>
            </w:r>
          </w:p>
        </w:tc>
        <w:tc>
          <w:tcPr>
            <w:tcW w:w="1267"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1</w:t>
            </w:r>
          </w:p>
        </w:tc>
        <w:tc>
          <w:tcPr>
            <w:tcW w:w="785" w:type="dxa"/>
            <w:shd w:val="clear" w:color="auto" w:fill="auto"/>
            <w:vAlign w:val="center"/>
          </w:tcPr>
          <w:p>
            <w:pPr>
              <w:widowControl/>
              <w:ind w:firstLine="0" w:firstLineChars="0"/>
              <w:rPr>
                <w:rFonts w:asciiTheme="minorEastAsia" w:hAnsiTheme="minorEastAsia" w:eastAsiaTheme="minorEastAsia" w:cstheme="minorEastAsia"/>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4" w:type="dxa"/>
            <w:vMerge w:val="continue"/>
            <w:vAlign w:val="center"/>
          </w:tcPr>
          <w:p>
            <w:pPr>
              <w:widowControl/>
              <w:ind w:firstLine="0" w:firstLineChars="0"/>
              <w:jc w:val="left"/>
              <w:rPr>
                <w:rFonts w:asciiTheme="minorEastAsia" w:hAnsiTheme="minorEastAsia" w:eastAsiaTheme="minorEastAsia" w:cstheme="minorEastAsia"/>
                <w:color w:val="000000"/>
                <w:kern w:val="0"/>
                <w:sz w:val="24"/>
              </w:rPr>
            </w:pPr>
          </w:p>
        </w:tc>
        <w:tc>
          <w:tcPr>
            <w:tcW w:w="1276" w:type="dxa"/>
            <w:vMerge w:val="continue"/>
            <w:vAlign w:val="center"/>
          </w:tcPr>
          <w:p>
            <w:pPr>
              <w:widowControl/>
              <w:ind w:firstLine="0" w:firstLineChars="0"/>
              <w:jc w:val="left"/>
              <w:rPr>
                <w:rFonts w:asciiTheme="minorEastAsia" w:hAnsiTheme="minorEastAsia" w:eastAsiaTheme="minorEastAsia" w:cstheme="minorEastAsia"/>
                <w:color w:val="000000"/>
                <w:kern w:val="0"/>
                <w:sz w:val="24"/>
              </w:rPr>
            </w:pPr>
          </w:p>
        </w:tc>
        <w:tc>
          <w:tcPr>
            <w:tcW w:w="3402"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市级以上龙头企业数量</w:t>
            </w:r>
          </w:p>
        </w:tc>
        <w:tc>
          <w:tcPr>
            <w:tcW w:w="992"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个</w:t>
            </w:r>
          </w:p>
        </w:tc>
        <w:tc>
          <w:tcPr>
            <w:tcW w:w="1067" w:type="dxa"/>
            <w:shd w:val="clear" w:color="auto" w:fill="auto"/>
            <w:vAlign w:val="center"/>
          </w:tcPr>
          <w:p>
            <w:pPr>
              <w:widowControl/>
              <w:ind w:firstLine="0" w:firstLineChars="0"/>
              <w:jc w:val="center"/>
              <w:rPr>
                <w:rFonts w:asciiTheme="minorEastAsia" w:hAnsiTheme="minorEastAsia" w:eastAsiaTheme="minorEastAsia" w:cstheme="minorEastAsia"/>
                <w:color w:val="000000" w:themeColor="text1"/>
                <w:kern w:val="0"/>
                <w:sz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14:textFill>
                  <w14:solidFill>
                    <w14:schemeClr w14:val="tx1"/>
                  </w14:solidFill>
                </w14:textFill>
              </w:rPr>
              <w:t>14</w:t>
            </w:r>
          </w:p>
        </w:tc>
        <w:tc>
          <w:tcPr>
            <w:tcW w:w="1267" w:type="dxa"/>
            <w:shd w:val="clear" w:color="auto" w:fill="auto"/>
            <w:vAlign w:val="center"/>
          </w:tcPr>
          <w:p>
            <w:pPr>
              <w:widowControl/>
              <w:ind w:firstLine="0" w:firstLineChars="0"/>
              <w:jc w:val="center"/>
              <w:rPr>
                <w:rFonts w:asciiTheme="minorEastAsia" w:hAnsiTheme="minorEastAsia" w:eastAsiaTheme="minorEastAsia" w:cstheme="minorEastAsia"/>
                <w:color w:val="000000" w:themeColor="text1"/>
                <w:kern w:val="0"/>
                <w:sz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14:textFill>
                  <w14:solidFill>
                    <w14:schemeClr w14:val="tx1"/>
                  </w14:solidFill>
                </w14:textFill>
              </w:rPr>
              <w:t>20</w:t>
            </w:r>
          </w:p>
        </w:tc>
        <w:tc>
          <w:tcPr>
            <w:tcW w:w="785" w:type="dxa"/>
            <w:shd w:val="clear" w:color="auto" w:fill="auto"/>
            <w:vAlign w:val="center"/>
          </w:tcPr>
          <w:p>
            <w:pPr>
              <w:widowControl/>
              <w:ind w:firstLine="0" w:firstLineChars="0"/>
              <w:rPr>
                <w:rFonts w:asciiTheme="minorEastAsia" w:hAnsiTheme="minorEastAsia" w:eastAsiaTheme="minorEastAsia" w:cstheme="minorEastAsia"/>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704" w:type="dxa"/>
            <w:vMerge w:val="continue"/>
            <w:vAlign w:val="center"/>
          </w:tcPr>
          <w:p>
            <w:pPr>
              <w:widowControl/>
              <w:ind w:firstLine="0" w:firstLineChars="0"/>
              <w:jc w:val="left"/>
              <w:rPr>
                <w:rFonts w:asciiTheme="minorEastAsia" w:hAnsiTheme="minorEastAsia" w:eastAsiaTheme="minorEastAsia" w:cstheme="minorEastAsia"/>
                <w:color w:val="000000"/>
                <w:kern w:val="0"/>
                <w:sz w:val="24"/>
              </w:rPr>
            </w:pPr>
          </w:p>
        </w:tc>
        <w:tc>
          <w:tcPr>
            <w:tcW w:w="1276" w:type="dxa"/>
            <w:vMerge w:val="continue"/>
            <w:vAlign w:val="center"/>
          </w:tcPr>
          <w:p>
            <w:pPr>
              <w:widowControl/>
              <w:ind w:firstLine="0" w:firstLineChars="0"/>
              <w:jc w:val="left"/>
              <w:rPr>
                <w:rFonts w:asciiTheme="minorEastAsia" w:hAnsiTheme="minorEastAsia" w:eastAsiaTheme="minorEastAsia" w:cstheme="minorEastAsia"/>
                <w:color w:val="000000"/>
                <w:kern w:val="0"/>
                <w:sz w:val="24"/>
              </w:rPr>
            </w:pPr>
          </w:p>
        </w:tc>
        <w:tc>
          <w:tcPr>
            <w:tcW w:w="3402"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县级以上龙头企业数量</w:t>
            </w:r>
          </w:p>
        </w:tc>
        <w:tc>
          <w:tcPr>
            <w:tcW w:w="992"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个</w:t>
            </w:r>
          </w:p>
        </w:tc>
        <w:tc>
          <w:tcPr>
            <w:tcW w:w="1067" w:type="dxa"/>
            <w:shd w:val="clear" w:color="auto" w:fill="auto"/>
            <w:vAlign w:val="center"/>
          </w:tcPr>
          <w:p>
            <w:pPr>
              <w:widowControl/>
              <w:ind w:firstLine="0" w:firstLineChars="0"/>
              <w:jc w:val="center"/>
              <w:rPr>
                <w:rFonts w:asciiTheme="minorEastAsia" w:hAnsiTheme="minorEastAsia" w:eastAsiaTheme="minorEastAsia" w:cstheme="minorEastAsia"/>
                <w:color w:val="000000" w:themeColor="text1"/>
                <w:kern w:val="0"/>
                <w:sz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14:textFill>
                  <w14:solidFill>
                    <w14:schemeClr w14:val="tx1"/>
                  </w14:solidFill>
                </w14:textFill>
              </w:rPr>
              <w:t>1</w:t>
            </w:r>
          </w:p>
        </w:tc>
        <w:tc>
          <w:tcPr>
            <w:tcW w:w="1267" w:type="dxa"/>
            <w:shd w:val="clear" w:color="auto" w:fill="auto"/>
            <w:vAlign w:val="center"/>
          </w:tcPr>
          <w:p>
            <w:pPr>
              <w:widowControl/>
              <w:ind w:firstLine="0" w:firstLineChars="0"/>
              <w:jc w:val="center"/>
              <w:rPr>
                <w:rFonts w:asciiTheme="minorEastAsia" w:hAnsiTheme="minorEastAsia" w:eastAsiaTheme="minorEastAsia" w:cstheme="minorEastAsia"/>
                <w:color w:val="000000" w:themeColor="text1"/>
                <w:kern w:val="0"/>
                <w:sz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14:textFill>
                  <w14:solidFill>
                    <w14:schemeClr w14:val="tx1"/>
                  </w14:solidFill>
                </w14:textFill>
              </w:rPr>
              <w:t>3</w:t>
            </w:r>
          </w:p>
        </w:tc>
        <w:tc>
          <w:tcPr>
            <w:tcW w:w="785" w:type="dxa"/>
            <w:shd w:val="clear" w:color="auto" w:fill="auto"/>
            <w:vAlign w:val="center"/>
          </w:tcPr>
          <w:p>
            <w:pPr>
              <w:widowControl/>
              <w:ind w:firstLine="0" w:firstLineChars="0"/>
              <w:rPr>
                <w:rFonts w:asciiTheme="minorEastAsia" w:hAnsiTheme="minorEastAsia" w:eastAsiaTheme="minorEastAsia" w:cstheme="minorEastAsia"/>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04" w:type="dxa"/>
            <w:vMerge w:val="continue"/>
            <w:vAlign w:val="center"/>
          </w:tcPr>
          <w:p>
            <w:pPr>
              <w:widowControl/>
              <w:ind w:firstLine="0" w:firstLineChars="0"/>
              <w:jc w:val="left"/>
              <w:rPr>
                <w:rFonts w:asciiTheme="minorEastAsia" w:hAnsiTheme="minorEastAsia" w:eastAsiaTheme="minorEastAsia" w:cstheme="minorEastAsia"/>
                <w:color w:val="000000"/>
                <w:kern w:val="0"/>
                <w:sz w:val="24"/>
              </w:rPr>
            </w:pPr>
          </w:p>
        </w:tc>
        <w:tc>
          <w:tcPr>
            <w:tcW w:w="1276" w:type="dxa"/>
            <w:vMerge w:val="continue"/>
            <w:vAlign w:val="center"/>
          </w:tcPr>
          <w:p>
            <w:pPr>
              <w:widowControl/>
              <w:ind w:firstLine="0" w:firstLineChars="0"/>
              <w:jc w:val="left"/>
              <w:rPr>
                <w:rFonts w:asciiTheme="minorEastAsia" w:hAnsiTheme="minorEastAsia" w:eastAsiaTheme="minorEastAsia" w:cstheme="minorEastAsia"/>
                <w:color w:val="000000"/>
                <w:kern w:val="0"/>
                <w:sz w:val="24"/>
              </w:rPr>
            </w:pPr>
          </w:p>
        </w:tc>
        <w:tc>
          <w:tcPr>
            <w:tcW w:w="3402"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国家级示范社</w:t>
            </w:r>
          </w:p>
        </w:tc>
        <w:tc>
          <w:tcPr>
            <w:tcW w:w="992"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个</w:t>
            </w:r>
          </w:p>
        </w:tc>
        <w:tc>
          <w:tcPr>
            <w:tcW w:w="1067" w:type="dxa"/>
            <w:shd w:val="clear" w:color="auto" w:fill="auto"/>
            <w:vAlign w:val="center"/>
          </w:tcPr>
          <w:p>
            <w:pPr>
              <w:widowControl/>
              <w:ind w:firstLine="0" w:firstLineChars="0"/>
              <w:jc w:val="center"/>
              <w:rPr>
                <w:rFonts w:asciiTheme="minorEastAsia" w:hAnsiTheme="minorEastAsia" w:eastAsiaTheme="minorEastAsia" w:cstheme="minorEastAsia"/>
                <w:color w:val="000000" w:themeColor="text1"/>
                <w:kern w:val="0"/>
                <w:sz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14:textFill>
                  <w14:solidFill>
                    <w14:schemeClr w14:val="tx1"/>
                  </w14:solidFill>
                </w14:textFill>
              </w:rPr>
              <w:t>1</w:t>
            </w:r>
          </w:p>
        </w:tc>
        <w:tc>
          <w:tcPr>
            <w:tcW w:w="1267" w:type="dxa"/>
            <w:shd w:val="clear" w:color="auto" w:fill="auto"/>
            <w:vAlign w:val="center"/>
          </w:tcPr>
          <w:p>
            <w:pPr>
              <w:widowControl/>
              <w:ind w:firstLine="0" w:firstLineChars="0"/>
              <w:jc w:val="center"/>
              <w:rPr>
                <w:rFonts w:asciiTheme="minorEastAsia" w:hAnsiTheme="minorEastAsia" w:eastAsiaTheme="minorEastAsia" w:cstheme="minorEastAsia"/>
                <w:color w:val="000000" w:themeColor="text1"/>
                <w:kern w:val="0"/>
                <w:sz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14:textFill>
                  <w14:solidFill>
                    <w14:schemeClr w14:val="tx1"/>
                  </w14:solidFill>
                </w14:textFill>
              </w:rPr>
              <w:t>2</w:t>
            </w:r>
          </w:p>
        </w:tc>
        <w:tc>
          <w:tcPr>
            <w:tcW w:w="785" w:type="dxa"/>
            <w:shd w:val="clear" w:color="auto" w:fill="auto"/>
            <w:vAlign w:val="center"/>
          </w:tcPr>
          <w:p>
            <w:pPr>
              <w:widowControl/>
              <w:ind w:firstLine="0" w:firstLineChars="0"/>
              <w:rPr>
                <w:rFonts w:asciiTheme="minorEastAsia" w:hAnsiTheme="minorEastAsia" w:eastAsiaTheme="minorEastAsia" w:cstheme="minorEastAsia"/>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4" w:type="dxa"/>
            <w:vMerge w:val="continue"/>
            <w:vAlign w:val="center"/>
          </w:tcPr>
          <w:p>
            <w:pPr>
              <w:widowControl/>
              <w:ind w:firstLine="0" w:firstLineChars="0"/>
              <w:jc w:val="left"/>
              <w:rPr>
                <w:rFonts w:asciiTheme="minorEastAsia" w:hAnsiTheme="minorEastAsia" w:eastAsiaTheme="minorEastAsia" w:cstheme="minorEastAsia"/>
                <w:color w:val="000000"/>
                <w:kern w:val="0"/>
                <w:sz w:val="24"/>
              </w:rPr>
            </w:pPr>
          </w:p>
        </w:tc>
        <w:tc>
          <w:tcPr>
            <w:tcW w:w="1276" w:type="dxa"/>
            <w:vMerge w:val="continue"/>
            <w:vAlign w:val="center"/>
          </w:tcPr>
          <w:p>
            <w:pPr>
              <w:widowControl/>
              <w:ind w:firstLine="0" w:firstLineChars="0"/>
              <w:jc w:val="left"/>
              <w:rPr>
                <w:rFonts w:asciiTheme="minorEastAsia" w:hAnsiTheme="minorEastAsia" w:eastAsiaTheme="minorEastAsia" w:cstheme="minorEastAsia"/>
                <w:color w:val="000000"/>
                <w:kern w:val="0"/>
                <w:sz w:val="24"/>
              </w:rPr>
            </w:pPr>
          </w:p>
        </w:tc>
        <w:tc>
          <w:tcPr>
            <w:tcW w:w="3402"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区级农民合作社示范社</w:t>
            </w:r>
          </w:p>
        </w:tc>
        <w:tc>
          <w:tcPr>
            <w:tcW w:w="992"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个</w:t>
            </w:r>
          </w:p>
        </w:tc>
        <w:tc>
          <w:tcPr>
            <w:tcW w:w="1067" w:type="dxa"/>
            <w:shd w:val="clear" w:color="auto" w:fill="auto"/>
            <w:vAlign w:val="center"/>
          </w:tcPr>
          <w:p>
            <w:pPr>
              <w:widowControl/>
              <w:ind w:firstLine="0" w:firstLineChars="0"/>
              <w:jc w:val="center"/>
              <w:rPr>
                <w:rFonts w:asciiTheme="minorEastAsia" w:hAnsiTheme="minorEastAsia" w:eastAsiaTheme="minorEastAsia" w:cstheme="minorEastAsia"/>
                <w:color w:val="000000" w:themeColor="text1"/>
                <w:kern w:val="0"/>
                <w:sz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14:textFill>
                  <w14:solidFill>
                    <w14:schemeClr w14:val="tx1"/>
                  </w14:solidFill>
                </w14:textFill>
              </w:rPr>
              <w:t>13</w:t>
            </w:r>
          </w:p>
        </w:tc>
        <w:tc>
          <w:tcPr>
            <w:tcW w:w="1267" w:type="dxa"/>
            <w:shd w:val="clear" w:color="auto" w:fill="auto"/>
            <w:vAlign w:val="center"/>
          </w:tcPr>
          <w:p>
            <w:pPr>
              <w:widowControl/>
              <w:ind w:firstLine="0" w:firstLineChars="0"/>
              <w:jc w:val="center"/>
              <w:rPr>
                <w:rFonts w:asciiTheme="minorEastAsia" w:hAnsiTheme="minorEastAsia" w:eastAsiaTheme="minorEastAsia" w:cstheme="minorEastAsia"/>
                <w:color w:val="000000" w:themeColor="text1"/>
                <w:kern w:val="0"/>
                <w:sz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14:textFill>
                  <w14:solidFill>
                    <w14:schemeClr w14:val="tx1"/>
                  </w14:solidFill>
                </w14:textFill>
              </w:rPr>
              <w:t>18</w:t>
            </w:r>
          </w:p>
        </w:tc>
        <w:tc>
          <w:tcPr>
            <w:tcW w:w="785" w:type="dxa"/>
            <w:shd w:val="clear" w:color="auto" w:fill="auto"/>
            <w:vAlign w:val="center"/>
          </w:tcPr>
          <w:p>
            <w:pPr>
              <w:widowControl/>
              <w:ind w:firstLine="0" w:firstLineChars="0"/>
              <w:rPr>
                <w:rFonts w:asciiTheme="minorEastAsia" w:hAnsiTheme="minorEastAsia" w:eastAsiaTheme="minorEastAsia" w:cstheme="minorEastAsia"/>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704" w:type="dxa"/>
            <w:vMerge w:val="continue"/>
            <w:vAlign w:val="center"/>
          </w:tcPr>
          <w:p>
            <w:pPr>
              <w:widowControl/>
              <w:ind w:firstLine="0" w:firstLineChars="0"/>
              <w:jc w:val="left"/>
              <w:rPr>
                <w:rFonts w:asciiTheme="minorEastAsia" w:hAnsiTheme="minorEastAsia" w:eastAsiaTheme="minorEastAsia" w:cstheme="minorEastAsia"/>
                <w:color w:val="000000"/>
                <w:kern w:val="0"/>
                <w:sz w:val="24"/>
              </w:rPr>
            </w:pPr>
          </w:p>
        </w:tc>
        <w:tc>
          <w:tcPr>
            <w:tcW w:w="1276" w:type="dxa"/>
            <w:vMerge w:val="continue"/>
            <w:vAlign w:val="center"/>
          </w:tcPr>
          <w:p>
            <w:pPr>
              <w:widowControl/>
              <w:ind w:firstLine="0" w:firstLineChars="0"/>
              <w:jc w:val="left"/>
              <w:rPr>
                <w:rFonts w:asciiTheme="minorEastAsia" w:hAnsiTheme="minorEastAsia" w:eastAsiaTheme="minorEastAsia" w:cstheme="minorEastAsia"/>
                <w:color w:val="000000"/>
                <w:kern w:val="0"/>
                <w:sz w:val="24"/>
              </w:rPr>
            </w:pPr>
          </w:p>
        </w:tc>
        <w:tc>
          <w:tcPr>
            <w:tcW w:w="3402"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市级以上农民合作社示范社</w:t>
            </w:r>
          </w:p>
        </w:tc>
        <w:tc>
          <w:tcPr>
            <w:tcW w:w="992"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个</w:t>
            </w:r>
          </w:p>
        </w:tc>
        <w:tc>
          <w:tcPr>
            <w:tcW w:w="1067" w:type="dxa"/>
            <w:shd w:val="clear" w:color="auto" w:fill="auto"/>
            <w:vAlign w:val="center"/>
          </w:tcPr>
          <w:p>
            <w:pPr>
              <w:widowControl/>
              <w:ind w:firstLine="0" w:firstLineChars="0"/>
              <w:jc w:val="center"/>
              <w:rPr>
                <w:rFonts w:asciiTheme="minorEastAsia" w:hAnsiTheme="minorEastAsia" w:eastAsiaTheme="minorEastAsia" w:cstheme="minorEastAsia"/>
                <w:color w:val="000000" w:themeColor="text1"/>
                <w:kern w:val="0"/>
                <w:sz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14:textFill>
                  <w14:solidFill>
                    <w14:schemeClr w14:val="tx1"/>
                  </w14:solidFill>
                </w14:textFill>
              </w:rPr>
              <w:t>9</w:t>
            </w:r>
          </w:p>
        </w:tc>
        <w:tc>
          <w:tcPr>
            <w:tcW w:w="1267" w:type="dxa"/>
            <w:shd w:val="clear" w:color="auto" w:fill="auto"/>
            <w:vAlign w:val="center"/>
          </w:tcPr>
          <w:p>
            <w:pPr>
              <w:widowControl/>
              <w:ind w:firstLine="0" w:firstLineChars="0"/>
              <w:jc w:val="center"/>
              <w:rPr>
                <w:rFonts w:asciiTheme="minorEastAsia" w:hAnsiTheme="minorEastAsia" w:eastAsiaTheme="minorEastAsia" w:cstheme="minorEastAsia"/>
                <w:color w:val="000000" w:themeColor="text1"/>
                <w:kern w:val="0"/>
                <w:sz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14:textFill>
                  <w14:solidFill>
                    <w14:schemeClr w14:val="tx1"/>
                  </w14:solidFill>
                </w14:textFill>
              </w:rPr>
              <w:t>13</w:t>
            </w:r>
          </w:p>
        </w:tc>
        <w:tc>
          <w:tcPr>
            <w:tcW w:w="785" w:type="dxa"/>
            <w:shd w:val="clear" w:color="auto" w:fill="auto"/>
            <w:vAlign w:val="center"/>
          </w:tcPr>
          <w:p>
            <w:pPr>
              <w:widowControl/>
              <w:ind w:firstLine="0" w:firstLineChars="0"/>
              <w:rPr>
                <w:rFonts w:asciiTheme="minorEastAsia" w:hAnsiTheme="minorEastAsia" w:eastAsiaTheme="minorEastAsia" w:cstheme="minorEastAsia"/>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04" w:type="dxa"/>
            <w:vMerge w:val="continue"/>
            <w:vAlign w:val="center"/>
          </w:tcPr>
          <w:p>
            <w:pPr>
              <w:widowControl/>
              <w:ind w:firstLine="0" w:firstLineChars="0"/>
              <w:jc w:val="left"/>
              <w:rPr>
                <w:rFonts w:asciiTheme="minorEastAsia" w:hAnsiTheme="minorEastAsia" w:eastAsiaTheme="minorEastAsia" w:cstheme="minorEastAsia"/>
                <w:color w:val="000000"/>
                <w:kern w:val="0"/>
                <w:sz w:val="24"/>
              </w:rPr>
            </w:pPr>
          </w:p>
        </w:tc>
        <w:tc>
          <w:tcPr>
            <w:tcW w:w="1276" w:type="dxa"/>
            <w:vMerge w:val="continue"/>
            <w:vAlign w:val="center"/>
          </w:tcPr>
          <w:p>
            <w:pPr>
              <w:widowControl/>
              <w:ind w:firstLine="0" w:firstLineChars="0"/>
              <w:jc w:val="left"/>
              <w:rPr>
                <w:rFonts w:asciiTheme="minorEastAsia" w:hAnsiTheme="minorEastAsia" w:eastAsiaTheme="minorEastAsia" w:cstheme="minorEastAsia"/>
                <w:color w:val="000000"/>
                <w:kern w:val="0"/>
                <w:sz w:val="24"/>
              </w:rPr>
            </w:pPr>
          </w:p>
        </w:tc>
        <w:tc>
          <w:tcPr>
            <w:tcW w:w="3402"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县级以上农民合作社示范社</w:t>
            </w:r>
          </w:p>
        </w:tc>
        <w:tc>
          <w:tcPr>
            <w:tcW w:w="992"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个</w:t>
            </w:r>
          </w:p>
        </w:tc>
        <w:tc>
          <w:tcPr>
            <w:tcW w:w="1067" w:type="dxa"/>
            <w:shd w:val="clear" w:color="auto" w:fill="auto"/>
            <w:vAlign w:val="center"/>
          </w:tcPr>
          <w:p>
            <w:pPr>
              <w:widowControl/>
              <w:ind w:firstLine="0" w:firstLineChars="0"/>
              <w:jc w:val="center"/>
              <w:rPr>
                <w:rFonts w:asciiTheme="minorEastAsia" w:hAnsiTheme="minorEastAsia" w:eastAsiaTheme="minorEastAsia" w:cstheme="minorEastAsia"/>
                <w:color w:val="000000" w:themeColor="text1"/>
                <w:kern w:val="0"/>
                <w:sz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14:textFill>
                  <w14:solidFill>
                    <w14:schemeClr w14:val="tx1"/>
                  </w14:solidFill>
                </w14:textFill>
              </w:rPr>
              <w:t>58</w:t>
            </w:r>
          </w:p>
        </w:tc>
        <w:tc>
          <w:tcPr>
            <w:tcW w:w="1267" w:type="dxa"/>
            <w:shd w:val="clear" w:color="auto" w:fill="auto"/>
            <w:vAlign w:val="center"/>
          </w:tcPr>
          <w:p>
            <w:pPr>
              <w:widowControl/>
              <w:ind w:firstLine="0" w:firstLineChars="0"/>
              <w:jc w:val="center"/>
              <w:rPr>
                <w:rFonts w:asciiTheme="minorEastAsia" w:hAnsiTheme="minorEastAsia" w:eastAsiaTheme="minorEastAsia" w:cstheme="minorEastAsia"/>
                <w:color w:val="000000" w:themeColor="text1"/>
                <w:kern w:val="0"/>
                <w:sz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14:textFill>
                  <w14:solidFill>
                    <w14:schemeClr w14:val="tx1"/>
                  </w14:solidFill>
                </w14:textFill>
              </w:rPr>
              <w:t>64</w:t>
            </w:r>
          </w:p>
        </w:tc>
        <w:tc>
          <w:tcPr>
            <w:tcW w:w="785" w:type="dxa"/>
            <w:shd w:val="clear" w:color="auto" w:fill="auto"/>
            <w:vAlign w:val="center"/>
          </w:tcPr>
          <w:p>
            <w:pPr>
              <w:widowControl/>
              <w:ind w:firstLine="0" w:firstLineChars="0"/>
              <w:rPr>
                <w:rFonts w:asciiTheme="minorEastAsia" w:hAnsiTheme="minorEastAsia" w:eastAsiaTheme="minorEastAsia" w:cstheme="minorEastAsia"/>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04" w:type="dxa"/>
            <w:vMerge w:val="continue"/>
            <w:vAlign w:val="center"/>
          </w:tcPr>
          <w:p>
            <w:pPr>
              <w:widowControl/>
              <w:ind w:firstLine="0" w:firstLineChars="0"/>
              <w:jc w:val="left"/>
              <w:rPr>
                <w:rFonts w:asciiTheme="minorEastAsia" w:hAnsiTheme="minorEastAsia" w:eastAsiaTheme="minorEastAsia" w:cstheme="minorEastAsia"/>
                <w:color w:val="000000"/>
                <w:kern w:val="0"/>
                <w:sz w:val="24"/>
              </w:rPr>
            </w:pPr>
          </w:p>
        </w:tc>
        <w:tc>
          <w:tcPr>
            <w:tcW w:w="1276" w:type="dxa"/>
            <w:vMerge w:val="continue"/>
            <w:vAlign w:val="center"/>
          </w:tcPr>
          <w:p>
            <w:pPr>
              <w:widowControl/>
              <w:ind w:firstLine="0" w:firstLineChars="0"/>
              <w:jc w:val="left"/>
              <w:rPr>
                <w:rFonts w:asciiTheme="minorEastAsia" w:hAnsiTheme="minorEastAsia" w:eastAsiaTheme="minorEastAsia" w:cstheme="minorEastAsia"/>
                <w:color w:val="000000"/>
                <w:kern w:val="0"/>
                <w:sz w:val="24"/>
              </w:rPr>
            </w:pPr>
          </w:p>
        </w:tc>
        <w:tc>
          <w:tcPr>
            <w:tcW w:w="3402"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农民可支配收入</w:t>
            </w:r>
          </w:p>
        </w:tc>
        <w:tc>
          <w:tcPr>
            <w:tcW w:w="992" w:type="dxa"/>
            <w:shd w:val="clear" w:color="auto" w:fill="auto"/>
            <w:vAlign w:val="center"/>
          </w:tcPr>
          <w:p>
            <w:pPr>
              <w:widowControl/>
              <w:ind w:firstLine="0" w:firstLineChars="0"/>
              <w:jc w:val="center"/>
              <w:rPr>
                <w:rFonts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元</w:t>
            </w:r>
          </w:p>
        </w:tc>
        <w:tc>
          <w:tcPr>
            <w:tcW w:w="1067" w:type="dxa"/>
            <w:shd w:val="clear" w:color="auto" w:fill="auto"/>
            <w:vAlign w:val="center"/>
          </w:tcPr>
          <w:p>
            <w:pPr>
              <w:widowControl/>
              <w:ind w:firstLine="0" w:firstLineChars="0"/>
              <w:jc w:val="center"/>
              <w:rPr>
                <w:rFonts w:asciiTheme="minorEastAsia" w:hAnsiTheme="minorEastAsia" w:eastAsiaTheme="minorEastAsia" w:cstheme="minorEastAsia"/>
                <w:color w:val="000000" w:themeColor="text1"/>
                <w:kern w:val="0"/>
                <w:sz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14:textFill>
                  <w14:solidFill>
                    <w14:schemeClr w14:val="tx1"/>
                  </w14:solidFill>
                </w14:textFill>
              </w:rPr>
              <w:t>17391</w:t>
            </w:r>
          </w:p>
        </w:tc>
        <w:tc>
          <w:tcPr>
            <w:tcW w:w="1267" w:type="dxa"/>
            <w:shd w:val="clear" w:color="auto" w:fill="auto"/>
            <w:vAlign w:val="center"/>
          </w:tcPr>
          <w:p>
            <w:pPr>
              <w:widowControl/>
              <w:ind w:firstLine="0" w:firstLineChars="0"/>
              <w:jc w:val="center"/>
              <w:rPr>
                <w:rFonts w:asciiTheme="minorEastAsia" w:hAnsiTheme="minorEastAsia" w:eastAsiaTheme="minorEastAsia" w:cstheme="minorEastAsia"/>
                <w:color w:val="000000" w:themeColor="text1"/>
                <w:kern w:val="0"/>
                <w:sz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14:textFill>
                  <w14:solidFill>
                    <w14:schemeClr w14:val="tx1"/>
                  </w14:solidFill>
                </w14:textFill>
              </w:rPr>
              <w:t>25462</w:t>
            </w:r>
          </w:p>
        </w:tc>
        <w:tc>
          <w:tcPr>
            <w:tcW w:w="785" w:type="dxa"/>
            <w:shd w:val="clear" w:color="auto" w:fill="auto"/>
            <w:vAlign w:val="center"/>
          </w:tcPr>
          <w:p>
            <w:pPr>
              <w:widowControl/>
              <w:ind w:firstLine="0" w:firstLineChars="0"/>
              <w:rPr>
                <w:rFonts w:asciiTheme="minorEastAsia" w:hAnsiTheme="minorEastAsia" w:eastAsiaTheme="minorEastAsia" w:cstheme="minorEastAsia"/>
                <w:color w:val="000000"/>
                <w:kern w:val="0"/>
                <w:sz w:val="24"/>
              </w:rPr>
            </w:pPr>
          </w:p>
        </w:tc>
      </w:tr>
    </w:tbl>
    <w:p>
      <w:pPr>
        <w:pStyle w:val="10"/>
        <w:tabs>
          <w:tab w:val="right" w:leader="dot" w:pos="10243"/>
        </w:tabs>
        <w:ind w:firstLine="723"/>
        <w:jc w:val="center"/>
        <w:rPr>
          <w:rFonts w:ascii="宋体" w:hAnsi="宋体" w:cs="宋体"/>
          <w:sz w:val="36"/>
          <w:szCs w:val="36"/>
        </w:rPr>
      </w:pPr>
    </w:p>
    <w:p>
      <w:pPr>
        <w:widowControl/>
        <w:ind w:firstLine="0" w:firstLineChars="0"/>
        <w:jc w:val="left"/>
      </w:pPr>
      <w:r>
        <w:rPr>
          <w:rFonts w:ascii="宋体" w:hAnsi="宋体" w:cs="宋体"/>
          <w:sz w:val="36"/>
          <w:szCs w:val="36"/>
        </w:rPr>
        <w:br w:type="page"/>
      </w:r>
    </w:p>
    <w:p>
      <w:pPr>
        <w:pStyle w:val="2"/>
      </w:pPr>
      <w:r>
        <w:fldChar w:fldCharType="begin"/>
      </w:r>
      <w:r>
        <w:instrText xml:space="preserve"> HYPERLINK \l "_Toc529132036" </w:instrText>
      </w:r>
      <w:r>
        <w:fldChar w:fldCharType="separate"/>
      </w:r>
      <w:bookmarkStart w:id="88" w:name="_Toc21594847"/>
      <w:r>
        <w:rPr>
          <w:rFonts w:hint="eastAsia"/>
        </w:rPr>
        <w:t>第五章 主要建设任务</w:t>
      </w:r>
      <w:bookmarkEnd w:id="88"/>
      <w:r>
        <w:rPr>
          <w:rFonts w:hint="eastAsia"/>
        </w:rPr>
        <w:fldChar w:fldCharType="end"/>
      </w:r>
    </w:p>
    <w:p>
      <w:pPr>
        <w:pStyle w:val="3"/>
        <w:ind w:firstLine="643"/>
      </w:pPr>
      <w:bookmarkStart w:id="89" w:name="_Toc21594848"/>
      <w:r>
        <w:rPr>
          <w:rFonts w:hint="eastAsia"/>
        </w:rPr>
        <w:t>一</w:t>
      </w:r>
      <w:r>
        <w:t>、</w:t>
      </w:r>
      <w:r>
        <w:rPr>
          <w:rFonts w:hint="eastAsia"/>
        </w:rPr>
        <w:t>建设三个基地</w:t>
      </w:r>
      <w:bookmarkEnd w:id="89"/>
    </w:p>
    <w:p>
      <w:pPr>
        <w:spacing w:line="360" w:lineRule="auto"/>
        <w:ind w:firstLine="560"/>
        <w:rPr>
          <w:szCs w:val="28"/>
        </w:rPr>
      </w:pPr>
      <w:r>
        <w:rPr>
          <w:rStyle w:val="20"/>
          <w:rFonts w:hint="eastAsia" w:ascii="仿宋_GB2312"/>
          <w:color w:val="auto"/>
          <w:szCs w:val="28"/>
          <w:u w:val="none"/>
        </w:rPr>
        <w:t>创建特优区是一项系统工程，要在</w:t>
      </w:r>
      <w:r>
        <w:rPr>
          <w:rStyle w:val="20"/>
          <w:rFonts w:hint="eastAsia"/>
          <w:color w:val="auto"/>
          <w:szCs w:val="28"/>
          <w:u w:val="none"/>
        </w:rPr>
        <w:t>完善标准体系、强化技术支撑、改善基础设施、加强品牌建设、培育经营主体、强化利益联结等方面统筹推进</w:t>
      </w:r>
      <w:r>
        <w:rPr>
          <w:rStyle w:val="20"/>
          <w:rFonts w:hint="eastAsia" w:ascii="仿宋_GB2312"/>
          <w:color w:val="auto"/>
          <w:szCs w:val="28"/>
          <w:u w:val="none"/>
        </w:rPr>
        <w:t>，按照填平补齐的原则，重点建设和完善“三个基地”、“三个体系”和“一个机制”，构建产业链条相对完整、市场主体利益共享、抗市场风险能力强的特色农产品优势区。</w:t>
      </w:r>
    </w:p>
    <w:p>
      <w:pPr>
        <w:pStyle w:val="4"/>
        <w:spacing w:before="156" w:after="156"/>
        <w:ind w:firstLine="452"/>
        <w:rPr>
          <w:rStyle w:val="20"/>
          <w:rFonts w:ascii="宋体" w:hAnsi="宋体" w:cs="宋体"/>
          <w:color w:val="auto"/>
          <w:szCs w:val="28"/>
          <w:u w:val="none"/>
        </w:rPr>
      </w:pPr>
      <w:r>
        <w:rPr>
          <w:rFonts w:hint="eastAsia"/>
        </w:rPr>
        <w:t>（一）标准化生产基地</w:t>
      </w:r>
    </w:p>
    <w:p>
      <w:pPr>
        <w:spacing w:line="360" w:lineRule="auto"/>
        <w:ind w:firstLine="560"/>
        <w:rPr>
          <w:rStyle w:val="20"/>
          <w:rFonts w:ascii="宋体" w:hAnsi="宋体" w:cs="宋体"/>
          <w:color w:val="auto"/>
          <w:szCs w:val="28"/>
          <w:u w:val="none"/>
        </w:rPr>
      </w:pPr>
      <w:r>
        <w:rPr>
          <w:rStyle w:val="20"/>
          <w:rFonts w:hint="eastAsia" w:ascii="宋体" w:hAnsi="宋体" w:cs="宋体"/>
          <w:color w:val="auto"/>
          <w:szCs w:val="28"/>
          <w:u w:val="none"/>
        </w:rPr>
        <w:t>建设标准化生产示范基地，推进品种选择、生产过程、终端产品的标准化，把标准化生产示范基地建设成为原料供应基地、名特产品的第一车间，因地制宜发展休闲农业、观光农业，实现农旅互动、融合发展，提高特色农产品的产业化水平。</w:t>
      </w:r>
    </w:p>
    <w:p>
      <w:pPr>
        <w:spacing w:line="360" w:lineRule="auto"/>
        <w:ind w:firstLine="560"/>
        <w:rPr>
          <w:rStyle w:val="20"/>
          <w:rFonts w:ascii="宋体" w:hAnsi="宋体" w:cs="宋体"/>
          <w:color w:val="auto"/>
          <w:szCs w:val="28"/>
          <w:u w:val="none"/>
        </w:rPr>
      </w:pPr>
      <w:r>
        <w:rPr>
          <w:rStyle w:val="20"/>
          <w:rFonts w:hint="eastAsia" w:ascii="宋体" w:hAnsi="宋体" w:cs="宋体"/>
          <w:color w:val="auto"/>
          <w:szCs w:val="28"/>
          <w:u w:val="none"/>
        </w:rPr>
        <w:t>加强农田水利等基础设施建设，推进水、电、路、渠、土地平整等田间工程，加快品种改良与更新换代，提高良种覆盖率。集成组装绿色高产高效技术模式，推广物理防治和生物防治病虫害，应用防虫网、粘虫板、杀虫灯、性诱剂等绿色防控技术，测土配方施肥、节水灌溉、施用有机肥等技术。推行生产档案统一编制，详细记载农事操作，打造一批标准化生产基地，创建一批主导产业核心示范区建设。</w:t>
      </w:r>
    </w:p>
    <w:p>
      <w:pPr>
        <w:spacing w:line="360" w:lineRule="auto"/>
        <w:ind w:firstLine="562"/>
        <w:rPr>
          <w:rFonts w:ascii="宋体" w:hAnsi="宋体" w:cs="宋体"/>
          <w:b/>
          <w:color w:val="000000"/>
          <w:kern w:val="0"/>
          <w:szCs w:val="28"/>
          <w:lang w:bidi="ar"/>
        </w:rPr>
      </w:pPr>
      <w:r>
        <w:rPr>
          <w:rFonts w:hint="eastAsia" w:ascii="宋体" w:hAnsi="宋体" w:cs="宋体"/>
          <w:b/>
          <w:color w:val="000000"/>
          <w:kern w:val="0"/>
          <w:szCs w:val="28"/>
          <w:lang w:bidi="ar"/>
        </w:rPr>
        <w:t>——葡萄标准化种植基地</w:t>
      </w:r>
    </w:p>
    <w:p>
      <w:pPr>
        <w:spacing w:line="360" w:lineRule="auto"/>
        <w:ind w:firstLine="560"/>
        <w:rPr>
          <w:rStyle w:val="20"/>
          <w:rFonts w:ascii="宋体" w:hAnsi="宋体" w:cs="宋体"/>
          <w:color w:val="auto"/>
          <w:szCs w:val="28"/>
          <w:u w:val="none"/>
        </w:rPr>
      </w:pPr>
      <w:r>
        <w:rPr>
          <w:rStyle w:val="20"/>
          <w:rFonts w:hint="eastAsia" w:ascii="宋体" w:hAnsi="宋体" w:cs="宋体"/>
          <w:color w:val="auto"/>
          <w:szCs w:val="28"/>
          <w:u w:val="none"/>
        </w:rPr>
        <w:t>重点加大基础设施改造升级，维护和搭建防雨大棚、整理土地、挖设排水沟渠、推行水肥一体化建设、实行有机肥施用土壤改良技术、强加病虫害防控、实行测土配方按需施肥技术、宣传葡萄根瘤蚜抗性砧木使用技术，大力推广两代同堂一年两收栽培、错峰栽培、冬季套种等葡萄生产先进技术力度；坚持绿色发展道路，狠抓“三品一标”创建工作，并按照无公害、绿色、有机食品生产标准大力推广葡萄标准化种植。</w:t>
      </w:r>
    </w:p>
    <w:p>
      <w:pPr>
        <w:widowControl/>
        <w:ind w:firstLine="562"/>
        <w:jc w:val="left"/>
      </w:pPr>
      <w:r>
        <w:rPr>
          <w:rFonts w:hint="eastAsia" w:ascii="宋体" w:hAnsi="宋体" w:cs="宋体"/>
          <w:b/>
          <w:color w:val="000000"/>
          <w:kern w:val="0"/>
          <w:szCs w:val="28"/>
          <w:lang w:bidi="ar"/>
        </w:rPr>
        <w:t xml:space="preserve">——银杏标准化种植基地 </w:t>
      </w:r>
    </w:p>
    <w:p>
      <w:pPr>
        <w:spacing w:line="360" w:lineRule="auto"/>
        <w:ind w:firstLine="560"/>
        <w:rPr>
          <w:rStyle w:val="20"/>
          <w:rFonts w:ascii="宋体" w:hAnsi="宋体" w:cs="宋体"/>
          <w:color w:val="auto"/>
          <w:szCs w:val="28"/>
          <w:u w:val="none"/>
        </w:rPr>
      </w:pPr>
      <w:r>
        <w:rPr>
          <w:rStyle w:val="20"/>
          <w:rFonts w:hint="eastAsia" w:ascii="宋体" w:hAnsi="宋体" w:cs="宋体"/>
          <w:color w:val="auto"/>
          <w:szCs w:val="28"/>
          <w:u w:val="none"/>
        </w:rPr>
        <w:t>银杏具有较强的适应土壤及环境的能力。一般可选择道路两旁、庭院四周、溪河两岸、荒山及耕地均可作为银杏的栽培基地，应尽量选取土壤条件较好的地，因地制宜地对银杏进行成片栽植。选择品种纯正、生长健壮、主干通直的种苗，对于矮干密植的丰产园，种植株行距在4m×4m或者2m×4m；对于高干稀植的丰产园来说，种植株行距在8m×8m或者6m×10m，并做好深耕改土、中耕除草、人工授粉、整形修剪、科学施肥、病虫害防治工作。</w:t>
      </w:r>
    </w:p>
    <w:p>
      <w:pPr>
        <w:widowControl/>
        <w:ind w:firstLine="562"/>
        <w:jc w:val="left"/>
      </w:pPr>
      <w:r>
        <w:rPr>
          <w:rFonts w:hint="eastAsia" w:ascii="宋体" w:hAnsi="宋体" w:cs="宋体"/>
          <w:b/>
          <w:color w:val="000000"/>
          <w:kern w:val="0"/>
          <w:szCs w:val="28"/>
          <w:lang w:bidi="ar"/>
        </w:rPr>
        <w:t xml:space="preserve">——柑桔标准化种植基地 </w:t>
      </w:r>
    </w:p>
    <w:p>
      <w:pPr>
        <w:widowControl/>
        <w:ind w:firstLine="560"/>
        <w:jc w:val="left"/>
        <w:rPr>
          <w:rFonts w:ascii="宋体" w:hAnsi="宋体" w:cs="宋体"/>
          <w:color w:val="000000"/>
          <w:kern w:val="0"/>
          <w:szCs w:val="28"/>
          <w:lang w:bidi="ar"/>
        </w:rPr>
      </w:pPr>
      <w:r>
        <w:rPr>
          <w:rFonts w:hint="eastAsia" w:ascii="宋体" w:hAnsi="宋体" w:cs="宋体"/>
          <w:color w:val="000000"/>
          <w:kern w:val="0"/>
          <w:szCs w:val="28"/>
          <w:lang w:bidi="ar"/>
        </w:rPr>
        <w:t>全面推广太阳能杀虫灯、性诱剂、黄蓝板、生物农药等绿色防控技术，推广有机肥代替化肥，建成全程绿色标准化示范区，开展绿色食品认证。推广使用物联网远程监控和二维码等身份识别技术，实现生产过程和农产品可追溯，强化生产档案编制管理。按照标准化生产技术规程种植管理，把示范基地打造成高标准、高质量、高效益的无病毒良种繁育、节水灌溉生产示范与技术推广为一体的综合性园区。</w:t>
      </w:r>
    </w:p>
    <w:p>
      <w:pPr>
        <w:spacing w:line="360" w:lineRule="auto"/>
        <w:ind w:firstLine="562"/>
        <w:rPr>
          <w:rFonts w:ascii="宋体" w:hAnsi="宋体" w:cs="宋体"/>
          <w:b/>
          <w:color w:val="000000"/>
          <w:kern w:val="0"/>
          <w:szCs w:val="28"/>
          <w:lang w:bidi="ar"/>
        </w:rPr>
      </w:pPr>
      <w:r>
        <w:rPr>
          <w:rFonts w:hint="eastAsia" w:ascii="宋体" w:hAnsi="宋体" w:cs="宋体"/>
          <w:b/>
          <w:color w:val="000000"/>
          <w:kern w:val="0"/>
          <w:szCs w:val="28"/>
          <w:lang w:bidi="ar"/>
        </w:rPr>
        <w:t>——甜玉米标准化种植基地</w:t>
      </w:r>
    </w:p>
    <w:p>
      <w:pPr>
        <w:widowControl/>
        <w:ind w:firstLine="560"/>
        <w:jc w:val="left"/>
        <w:rPr>
          <w:rFonts w:ascii="宋体" w:hAnsi="宋体" w:cs="宋体"/>
          <w:bCs/>
          <w:color w:val="000000"/>
          <w:kern w:val="0"/>
          <w:szCs w:val="28"/>
          <w:lang w:bidi="ar"/>
        </w:rPr>
      </w:pPr>
      <w:r>
        <w:rPr>
          <w:rFonts w:hint="eastAsia" w:ascii="宋体" w:hAnsi="宋体" w:cs="宋体"/>
          <w:bCs/>
          <w:color w:val="000000"/>
          <w:kern w:val="0"/>
          <w:szCs w:val="28"/>
          <w:lang w:bidi="ar"/>
        </w:rPr>
        <w:t>全面推广绿色植保节药技术、每30亩安装杀虫灯1盏，大力推进水肥一体化、滴灌、测土配方施肥、增施有机肥代替化肥、秸秆还田，推行水稻+甜玉米+秋冬菜一年三熟水旱轮做的生态农业模式，强化标准化示范基地管理，在选种、育苗、田间管理、病虫害防治、化肥、农药使用、销售等过程中实行全程标准化管理，使全县甜玉米种植走标准化管理、产业化经营之路。肥料和农药使用必须遵循《NY/T393绿色食品农药使用准则》、《NY/T394绿色食品肥料使用准则》。</w:t>
      </w:r>
    </w:p>
    <w:p>
      <w:pPr>
        <w:widowControl/>
        <w:ind w:firstLine="562"/>
        <w:jc w:val="left"/>
      </w:pPr>
      <w:r>
        <w:rPr>
          <w:rFonts w:hint="eastAsia" w:ascii="宋体" w:hAnsi="宋体" w:cs="宋体"/>
          <w:b/>
          <w:color w:val="000000"/>
          <w:kern w:val="0"/>
          <w:szCs w:val="28"/>
          <w:lang w:bidi="ar"/>
        </w:rPr>
        <w:t xml:space="preserve">——食用菌标准化种植基地 </w:t>
      </w:r>
    </w:p>
    <w:p>
      <w:pPr>
        <w:widowControl/>
        <w:ind w:firstLine="560"/>
        <w:jc w:val="left"/>
        <w:rPr>
          <w:rFonts w:ascii="宋体" w:hAnsi="宋体" w:cs="宋体"/>
          <w:color w:val="000000"/>
          <w:kern w:val="0"/>
          <w:szCs w:val="28"/>
          <w:lang w:bidi="ar"/>
        </w:rPr>
      </w:pPr>
      <w:r>
        <w:rPr>
          <w:rFonts w:hint="eastAsia" w:ascii="宋体" w:hAnsi="宋体" w:cs="宋体"/>
          <w:color w:val="000000"/>
          <w:kern w:val="0"/>
          <w:szCs w:val="28"/>
          <w:lang w:bidi="ar"/>
        </w:rPr>
        <w:t>突出抓好各环节的质量控制和栽培关键技术管理，推广优质、高产食用菌品种进行生产，应用绿色防控</w:t>
      </w:r>
      <w:r>
        <w:rPr>
          <w:rFonts w:ascii="宋体" w:hAnsi="宋体" w:cs="宋体"/>
          <w:color w:val="000000"/>
          <w:kern w:val="0"/>
          <w:szCs w:val="28"/>
          <w:lang w:bidi="ar"/>
        </w:rPr>
        <w:t>病虫害</w:t>
      </w:r>
      <w:r>
        <w:rPr>
          <w:rFonts w:hint="eastAsia" w:ascii="宋体" w:hAnsi="宋体" w:cs="宋体"/>
          <w:color w:val="000000"/>
          <w:kern w:val="0"/>
          <w:szCs w:val="28"/>
          <w:lang w:bidi="ar"/>
        </w:rPr>
        <w:t>等多项综合农艺技术体系。以优质食用菌生产基地为依托，积极推行有机食用菌生产技术，通过培训提高农民素质，制定有机食用菌生产技术规程，扩大社会性宣传，推动传统化</w:t>
      </w:r>
      <w:r>
        <w:rPr>
          <w:rFonts w:ascii="宋体" w:hAnsi="宋体" w:cs="宋体"/>
          <w:color w:val="000000"/>
          <w:kern w:val="0"/>
          <w:szCs w:val="28"/>
          <w:lang w:bidi="ar"/>
        </w:rPr>
        <w:t>向</w:t>
      </w:r>
      <w:r>
        <w:rPr>
          <w:rFonts w:hint="eastAsia" w:ascii="宋体" w:hAnsi="宋体" w:cs="宋体"/>
          <w:color w:val="000000"/>
          <w:kern w:val="0"/>
          <w:szCs w:val="28"/>
          <w:lang w:bidi="ar"/>
        </w:rPr>
        <w:t xml:space="preserve">标准工厂化食用菌的生产和发展。 </w:t>
      </w:r>
    </w:p>
    <w:p>
      <w:pPr>
        <w:widowControl/>
        <w:ind w:firstLine="560"/>
        <w:jc w:val="left"/>
        <w:rPr>
          <w:rFonts w:ascii="宋体" w:hAnsi="宋体" w:cs="宋体"/>
          <w:color w:val="000000"/>
          <w:kern w:val="0"/>
          <w:szCs w:val="28"/>
          <w:lang w:bidi="ar"/>
        </w:rPr>
      </w:pPr>
    </w:p>
    <w:p>
      <w:pPr>
        <w:pStyle w:val="4"/>
        <w:spacing w:before="156" w:after="156"/>
        <w:ind w:firstLine="452"/>
      </w:pPr>
      <w:r>
        <w:rPr>
          <w:rFonts w:hint="eastAsia"/>
        </w:rPr>
        <w:t>（二）仓储物流基地</w:t>
      </w:r>
    </w:p>
    <w:p>
      <w:pPr>
        <w:spacing w:line="360" w:lineRule="auto"/>
        <w:ind w:firstLine="560"/>
        <w:rPr>
          <w:rStyle w:val="20"/>
          <w:rFonts w:ascii="宋体" w:hAnsi="宋体" w:cs="宋体"/>
          <w:color w:val="auto"/>
          <w:szCs w:val="28"/>
          <w:u w:val="none"/>
        </w:rPr>
      </w:pPr>
      <w:r>
        <w:rPr>
          <w:rStyle w:val="20"/>
          <w:rFonts w:hint="eastAsia" w:ascii="宋体" w:hAnsi="宋体" w:cs="宋体"/>
          <w:color w:val="auto"/>
          <w:szCs w:val="28"/>
          <w:u w:val="none"/>
        </w:rPr>
        <w:t>在现有农产品流通体系的基础上，因地制宜依托公路网、铁路网、电商企业布局，完善仓储物流设施，不断提高特色农产品流通效率。</w:t>
      </w:r>
    </w:p>
    <w:p>
      <w:pPr>
        <w:spacing w:line="360" w:lineRule="auto"/>
        <w:ind w:firstLine="562"/>
        <w:rPr>
          <w:rStyle w:val="20"/>
          <w:rFonts w:ascii="宋体" w:hAnsi="宋体" w:cs="宋体"/>
          <w:color w:val="auto"/>
          <w:szCs w:val="28"/>
          <w:u w:val="none"/>
        </w:rPr>
      </w:pPr>
      <w:r>
        <w:rPr>
          <w:rFonts w:hint="eastAsia" w:ascii="宋体" w:hAnsi="宋体" w:cs="宋体"/>
          <w:b/>
          <w:bCs/>
          <w:szCs w:val="28"/>
        </w:rPr>
        <w:t>1.产地收储设施。</w:t>
      </w:r>
      <w:r>
        <w:rPr>
          <w:rStyle w:val="20"/>
          <w:rFonts w:hint="eastAsia" w:ascii="宋体" w:hAnsi="宋体" w:cs="宋体"/>
          <w:color w:val="auto"/>
          <w:szCs w:val="28"/>
          <w:u w:val="none"/>
        </w:rPr>
        <w:t>在充分利用现有收储设施的基础上，在产地就近建设预选分级、加工配送、包装仓储等基础设施，完善收购网点，配套建设仓储、物流、冷链设施。根据本地现有集散基础，规范建设一批田头市场。鼓励各大农产品电商平台在产地建设电商服务站点。</w:t>
      </w:r>
    </w:p>
    <w:p>
      <w:pPr>
        <w:spacing w:line="360" w:lineRule="auto"/>
        <w:ind w:firstLine="562"/>
        <w:rPr>
          <w:rStyle w:val="20"/>
          <w:rFonts w:ascii="宋体" w:hAnsi="宋体" w:cs="宋体"/>
          <w:color w:val="auto"/>
          <w:szCs w:val="28"/>
          <w:u w:val="none"/>
        </w:rPr>
      </w:pPr>
      <w:r>
        <w:rPr>
          <w:rFonts w:hint="eastAsia" w:ascii="宋体" w:hAnsi="宋体" w:cs="宋体"/>
          <w:b/>
          <w:bCs/>
          <w:szCs w:val="28"/>
        </w:rPr>
        <w:t>2.产地批发市场。</w:t>
      </w:r>
      <w:r>
        <w:rPr>
          <w:rStyle w:val="20"/>
          <w:rFonts w:hint="eastAsia" w:ascii="宋体" w:hAnsi="宋体" w:cs="宋体"/>
          <w:color w:val="auto"/>
          <w:szCs w:val="28"/>
          <w:u w:val="none"/>
        </w:rPr>
        <w:t>建设完善专业批发市场，推动现有产地批发市场转型升级，完善标准化交易专区、集配中心、冷藏冷冻、电子结算、检验检测等设施设备，加强废弃物循环利用与处理、安全监控等设施建设，提升农产品批发市场综合服务功能。</w:t>
      </w:r>
    </w:p>
    <w:p>
      <w:pPr>
        <w:spacing w:line="360" w:lineRule="auto"/>
        <w:ind w:firstLine="562"/>
        <w:rPr>
          <w:rStyle w:val="20"/>
          <w:rFonts w:ascii="宋体" w:hAnsi="宋体" w:cs="宋体"/>
          <w:color w:val="auto"/>
          <w:szCs w:val="28"/>
          <w:u w:val="none"/>
        </w:rPr>
      </w:pPr>
      <w:r>
        <w:rPr>
          <w:rFonts w:hint="eastAsia" w:ascii="宋体" w:hAnsi="宋体" w:cs="宋体"/>
          <w:b/>
          <w:bCs/>
          <w:szCs w:val="28"/>
        </w:rPr>
        <w:t>3.冷链物流体系。</w:t>
      </w:r>
      <w:r>
        <w:rPr>
          <w:rStyle w:val="20"/>
          <w:rFonts w:hint="eastAsia" w:ascii="宋体" w:hAnsi="宋体" w:cs="宋体"/>
          <w:color w:val="auto"/>
          <w:szCs w:val="28"/>
          <w:u w:val="none"/>
        </w:rPr>
        <w:t>加强分级、包装、预冷等设施建设，提高商品化处理能力。发展保温、冷藏运输，稳定商品质量、减少损耗。完善冷链配送设施建设，发展具有集中采购、跨区域配送能力的现代化配送中心。</w:t>
      </w:r>
    </w:p>
    <w:p>
      <w:pPr>
        <w:spacing w:line="360" w:lineRule="auto"/>
        <w:ind w:firstLine="0" w:firstLineChars="0"/>
        <w:rPr>
          <w:rStyle w:val="20"/>
          <w:rFonts w:ascii="宋体" w:hAnsi="宋体" w:cs="宋体"/>
          <w:color w:val="auto"/>
          <w:szCs w:val="28"/>
          <w:u w:val="none"/>
        </w:rPr>
      </w:pPr>
    </w:p>
    <w:p>
      <w:pPr>
        <w:pStyle w:val="4"/>
        <w:spacing w:before="156" w:after="156"/>
        <w:ind w:firstLine="452"/>
      </w:pPr>
      <w:r>
        <w:rPr>
          <w:rFonts w:hint="eastAsia"/>
        </w:rPr>
        <w:t>（三）特色农产品加工基地</w:t>
      </w:r>
    </w:p>
    <w:p>
      <w:pPr>
        <w:spacing w:line="360" w:lineRule="auto"/>
        <w:ind w:firstLine="560"/>
        <w:rPr>
          <w:rStyle w:val="20"/>
          <w:rFonts w:ascii="宋体" w:hAnsi="宋体" w:cs="宋体"/>
          <w:color w:val="auto"/>
          <w:szCs w:val="28"/>
          <w:u w:val="none"/>
        </w:rPr>
      </w:pPr>
      <w:r>
        <w:rPr>
          <w:rStyle w:val="20"/>
          <w:rFonts w:hint="eastAsia" w:ascii="宋体" w:hAnsi="宋体" w:cs="宋体"/>
          <w:color w:val="auto"/>
          <w:szCs w:val="28"/>
          <w:u w:val="none"/>
        </w:rPr>
        <w:t>根据兴安县不同产业的发展情况，因地制宜，以发展具有符合当地农产品产业的特色农产品初加工和精深加工为重点，积极整合和规范发展各类农产品加工产业集聚园区，加快实现加工园区化、园区产业化、产业集聚化，最大限度挖掘特色农产品的增值潜力。</w:t>
      </w:r>
    </w:p>
    <w:p>
      <w:pPr>
        <w:spacing w:line="360" w:lineRule="auto"/>
        <w:ind w:firstLine="562"/>
        <w:rPr>
          <w:rStyle w:val="20"/>
          <w:rFonts w:ascii="宋体" w:hAnsi="宋体" w:cs="宋体"/>
          <w:color w:val="auto"/>
          <w:szCs w:val="28"/>
          <w:u w:val="none"/>
        </w:rPr>
      </w:pPr>
      <w:r>
        <w:rPr>
          <w:rFonts w:hint="eastAsia" w:ascii="宋体" w:hAnsi="宋体" w:cs="宋体"/>
          <w:b/>
          <w:bCs/>
          <w:szCs w:val="28"/>
        </w:rPr>
        <w:t>1.特色农产品产地初加工。</w:t>
      </w:r>
      <w:r>
        <w:rPr>
          <w:rStyle w:val="20"/>
          <w:rFonts w:hint="eastAsia" w:ascii="宋体" w:hAnsi="宋体" w:cs="宋体"/>
          <w:color w:val="auto"/>
          <w:szCs w:val="28"/>
          <w:u w:val="none"/>
        </w:rPr>
        <w:t>支持农户和农民合作社改善储藏、保鲜、烘干、清选分级、包装等设施装备条件，促进商品化处理，减少产后损失。积极推广适用技术，因地制宜建设初加工设施，提升农产品初加工水平。</w:t>
      </w:r>
    </w:p>
    <w:p>
      <w:pPr>
        <w:spacing w:line="360" w:lineRule="auto"/>
        <w:ind w:firstLine="562"/>
        <w:rPr>
          <w:rStyle w:val="20"/>
          <w:rFonts w:ascii="宋体" w:hAnsi="宋体" w:cs="宋体"/>
          <w:color w:val="auto"/>
          <w:szCs w:val="28"/>
          <w:u w:val="none"/>
        </w:rPr>
      </w:pPr>
      <w:r>
        <w:rPr>
          <w:rFonts w:hint="eastAsia" w:ascii="宋体" w:hAnsi="宋体" w:cs="宋体"/>
          <w:b/>
          <w:bCs/>
          <w:szCs w:val="28"/>
        </w:rPr>
        <w:t>2.特色农产品精深加工。</w:t>
      </w:r>
      <w:r>
        <w:rPr>
          <w:rStyle w:val="20"/>
          <w:rFonts w:hint="eastAsia" w:ascii="宋体" w:hAnsi="宋体" w:cs="宋体"/>
          <w:color w:val="auto"/>
          <w:szCs w:val="28"/>
          <w:u w:val="none"/>
        </w:rPr>
        <w:t>科学集成应用生物、工程、环保、信息等技术发展特色农产品精深加工，推动非热加工、新型杀菌、高效分离、节能干燥、清洁生产等新技术在农产品加工领域的应用，提升特色农产品利用的便利度和效率。积极开发以特色农产品为原料的功能性食品。</w:t>
      </w:r>
    </w:p>
    <w:p>
      <w:pPr>
        <w:spacing w:line="360" w:lineRule="auto"/>
        <w:ind w:firstLine="562"/>
        <w:rPr>
          <w:rStyle w:val="20"/>
          <w:rFonts w:ascii="宋体" w:hAnsi="宋体" w:cs="宋体"/>
          <w:color w:val="auto"/>
          <w:szCs w:val="28"/>
          <w:u w:val="none"/>
        </w:rPr>
      </w:pPr>
      <w:r>
        <w:rPr>
          <w:rFonts w:hint="eastAsia" w:ascii="宋体" w:hAnsi="宋体" w:cs="宋体"/>
          <w:b/>
          <w:bCs/>
          <w:szCs w:val="28"/>
        </w:rPr>
        <w:t>3.特色农副产品及加工副产物综合循环利用。</w:t>
      </w:r>
      <w:r>
        <w:rPr>
          <w:rStyle w:val="20"/>
          <w:rFonts w:hint="eastAsia" w:ascii="宋体" w:hAnsi="宋体" w:cs="宋体"/>
          <w:color w:val="auto"/>
          <w:szCs w:val="28"/>
          <w:u w:val="none"/>
        </w:rPr>
        <w:t>推动特色农产品及其加工副产物循环利用、全值利用、梯次利用，采取先进的提取、分离与制备技术，集中建立副产物收集、运输和处理渠道，加快推进玉米秸秆、银杏树叶皮渣、食用菌棒等副产物综合利用，开发新产品，不断挖掘农产品加工潜力、提升增值空间。</w:t>
      </w:r>
    </w:p>
    <w:p>
      <w:pPr>
        <w:spacing w:line="360" w:lineRule="auto"/>
        <w:ind w:firstLine="562"/>
        <w:rPr>
          <w:rFonts w:ascii="宋体" w:hAnsi="宋体" w:cs="宋体"/>
          <w:b/>
          <w:color w:val="000000"/>
          <w:kern w:val="0"/>
          <w:szCs w:val="28"/>
          <w:lang w:bidi="ar"/>
        </w:rPr>
      </w:pPr>
    </w:p>
    <w:p>
      <w:pPr>
        <w:spacing w:line="360" w:lineRule="auto"/>
        <w:ind w:firstLine="562"/>
        <w:rPr>
          <w:rFonts w:ascii="宋体" w:hAnsi="宋体" w:cs="宋体"/>
          <w:b/>
          <w:color w:val="000000"/>
          <w:kern w:val="0"/>
          <w:szCs w:val="28"/>
          <w:lang w:bidi="ar"/>
        </w:rPr>
      </w:pPr>
    </w:p>
    <w:p>
      <w:pPr>
        <w:spacing w:line="360" w:lineRule="auto"/>
        <w:ind w:firstLine="562"/>
        <w:rPr>
          <w:rFonts w:ascii="宋体" w:hAnsi="宋体" w:cs="宋体"/>
          <w:b/>
          <w:color w:val="000000"/>
          <w:kern w:val="0"/>
          <w:szCs w:val="28"/>
          <w:lang w:bidi="ar"/>
        </w:rPr>
      </w:pPr>
      <w:r>
        <w:rPr>
          <w:rFonts w:hint="eastAsia" w:ascii="宋体" w:hAnsi="宋体" w:cs="宋体"/>
          <w:b/>
          <w:color w:val="000000"/>
          <w:kern w:val="0"/>
          <w:szCs w:val="28"/>
          <w:lang w:bidi="ar"/>
        </w:rPr>
        <w:t>——葡萄加工基地</w:t>
      </w:r>
    </w:p>
    <w:p>
      <w:pPr>
        <w:ind w:firstLine="560"/>
        <w:rPr>
          <w:lang w:bidi="ar"/>
        </w:rPr>
      </w:pPr>
      <w:r>
        <w:rPr>
          <w:rFonts w:hint="eastAsia"/>
          <w:lang w:bidi="ar"/>
        </w:rPr>
        <w:t>加大葡萄采后贮存保鲜冷库、恒温库等建设力度，加快发展葡萄分选、包装等初加工以及开发果汁、罐头等精深加工，打造知名品牌，促进葡萄产业优质化、精品化、标准化、品牌化、效益化发展。</w:t>
      </w:r>
    </w:p>
    <w:p>
      <w:pPr>
        <w:spacing w:line="360" w:lineRule="auto"/>
        <w:ind w:firstLine="562"/>
        <w:rPr>
          <w:rFonts w:ascii="宋体" w:hAnsi="宋体" w:cs="宋体"/>
          <w:b/>
          <w:color w:val="000000"/>
          <w:kern w:val="0"/>
          <w:szCs w:val="28"/>
          <w:lang w:bidi="ar"/>
        </w:rPr>
      </w:pPr>
      <w:r>
        <w:rPr>
          <w:rFonts w:hint="eastAsia" w:ascii="宋体" w:hAnsi="宋体" w:cs="宋体"/>
          <w:b/>
          <w:color w:val="000000"/>
          <w:kern w:val="0"/>
          <w:szCs w:val="28"/>
          <w:lang w:bidi="ar"/>
        </w:rPr>
        <w:t>——银杏加工基地</w:t>
      </w:r>
    </w:p>
    <w:p>
      <w:pPr>
        <w:spacing w:line="360" w:lineRule="auto"/>
        <w:ind w:firstLine="560"/>
        <w:rPr>
          <w:rFonts w:ascii="宋体" w:hAnsi="宋体" w:cs="宋体"/>
          <w:b/>
          <w:color w:val="000000"/>
          <w:kern w:val="0"/>
          <w:szCs w:val="28"/>
          <w:lang w:bidi="ar"/>
        </w:rPr>
      </w:pPr>
      <w:r>
        <w:rPr>
          <w:rFonts w:hint="eastAsia" w:ascii="宋体" w:hAnsi="宋体" w:cs="宋体"/>
          <w:szCs w:val="28"/>
        </w:rPr>
        <w:t>加强银杏去果皮和果壳技术与设备研发应用，</w:t>
      </w:r>
      <w:r>
        <w:rPr>
          <w:rFonts w:hint="eastAsia" w:ascii="宋体" w:hAnsi="宋体" w:cs="宋体"/>
          <w:color w:val="000000"/>
          <w:kern w:val="0"/>
          <w:szCs w:val="28"/>
          <w:lang w:bidi="ar"/>
        </w:rPr>
        <w:t>改善储藏、保鲜、烘干、清选分级、包装等设施装备，提升银杏</w:t>
      </w:r>
      <w:r>
        <w:rPr>
          <w:rFonts w:hint="eastAsia" w:ascii="宋体" w:hAnsi="宋体" w:cs="宋体"/>
          <w:szCs w:val="28"/>
        </w:rPr>
        <w:t>酿酒、银杏叶（GBE）提取物技术，</w:t>
      </w:r>
      <w:r>
        <w:rPr>
          <w:rFonts w:hint="eastAsia" w:ascii="宋体" w:hAnsi="宋体" w:cs="宋体"/>
          <w:bCs/>
          <w:szCs w:val="28"/>
        </w:rPr>
        <w:t>研发具有一定营养、保健功能和特殊风味的银杏保健品和食品。</w:t>
      </w:r>
    </w:p>
    <w:p>
      <w:pPr>
        <w:widowControl/>
        <w:ind w:firstLine="562"/>
        <w:jc w:val="left"/>
        <w:rPr>
          <w:szCs w:val="28"/>
        </w:rPr>
      </w:pPr>
      <w:r>
        <w:rPr>
          <w:rFonts w:hint="eastAsia" w:ascii="宋体" w:hAnsi="宋体" w:cs="宋体"/>
          <w:b/>
          <w:color w:val="000000"/>
          <w:kern w:val="0"/>
          <w:szCs w:val="28"/>
          <w:lang w:bidi="ar"/>
        </w:rPr>
        <w:t>——柑桔加工基地</w:t>
      </w:r>
    </w:p>
    <w:p>
      <w:pPr>
        <w:widowControl/>
        <w:ind w:firstLine="562"/>
        <w:jc w:val="left"/>
        <w:rPr>
          <w:szCs w:val="28"/>
        </w:rPr>
      </w:pPr>
      <w:r>
        <w:rPr>
          <w:rFonts w:hint="eastAsia" w:ascii="宋体" w:hAnsi="宋体" w:cs="宋体"/>
          <w:b/>
          <w:color w:val="000000"/>
          <w:kern w:val="0"/>
          <w:szCs w:val="28"/>
          <w:lang w:bidi="ar"/>
        </w:rPr>
        <w:t>1.特色农产品产地初加工。</w:t>
      </w:r>
      <w:r>
        <w:rPr>
          <w:rFonts w:hint="eastAsia" w:ascii="宋体" w:hAnsi="宋体" w:cs="宋体"/>
          <w:color w:val="000000"/>
          <w:kern w:val="0"/>
          <w:szCs w:val="28"/>
          <w:lang w:bidi="ar"/>
        </w:rPr>
        <w:t xml:space="preserve">支持农户和农民合作社改善储藏、保鲜、烘干、清选分级、包装等设施装备条件，促进商品化处理，减少产后损失。积极推广适用技术，因地制宜建设初加工设施，提升农产品初加工水平。 </w:t>
      </w:r>
    </w:p>
    <w:p>
      <w:pPr>
        <w:widowControl/>
        <w:ind w:firstLine="562"/>
        <w:jc w:val="left"/>
        <w:rPr>
          <w:rFonts w:ascii="宋体" w:hAnsi="宋体" w:cs="宋体"/>
          <w:color w:val="000000"/>
          <w:kern w:val="0"/>
          <w:szCs w:val="28"/>
          <w:lang w:bidi="ar"/>
        </w:rPr>
      </w:pPr>
      <w:r>
        <w:rPr>
          <w:rFonts w:hint="eastAsia" w:ascii="宋体" w:hAnsi="宋体" w:cs="宋体"/>
          <w:b/>
          <w:color w:val="000000"/>
          <w:kern w:val="0"/>
          <w:szCs w:val="28"/>
          <w:lang w:bidi="ar"/>
        </w:rPr>
        <w:t>2.特色农产品精深加工。</w:t>
      </w:r>
      <w:r>
        <w:rPr>
          <w:rFonts w:hint="eastAsia" w:ascii="宋体" w:hAnsi="宋体" w:cs="宋体"/>
          <w:color w:val="000000"/>
          <w:kern w:val="0"/>
          <w:szCs w:val="28"/>
          <w:lang w:bidi="ar"/>
        </w:rPr>
        <w:t xml:space="preserve">科学集成应用生物、工程、环保、信息等技术发展特色农产品精深加工，推动非热加工、新型杀菌、高效分离、节能干燥、清洁生产等新技术在农产品加工领域的应用，提升特色农产品利用的便利度和效率。积极开发以特色农产品为原料的功能性食品。 </w:t>
      </w:r>
    </w:p>
    <w:p>
      <w:pPr>
        <w:widowControl/>
        <w:ind w:firstLine="562"/>
        <w:jc w:val="left"/>
        <w:rPr>
          <w:rFonts w:ascii="宋体" w:hAnsi="宋体" w:cs="宋体"/>
          <w:b/>
          <w:color w:val="000000"/>
          <w:kern w:val="0"/>
          <w:szCs w:val="28"/>
          <w:lang w:bidi="ar"/>
        </w:rPr>
      </w:pPr>
      <w:r>
        <w:rPr>
          <w:rFonts w:hint="eastAsia" w:ascii="宋体" w:hAnsi="宋体" w:cs="宋体"/>
          <w:b/>
          <w:color w:val="000000"/>
          <w:kern w:val="0"/>
          <w:szCs w:val="28"/>
          <w:lang w:bidi="ar"/>
        </w:rPr>
        <w:t>——甜玉米加工基地</w:t>
      </w:r>
    </w:p>
    <w:p>
      <w:pPr>
        <w:ind w:firstLine="560"/>
      </w:pPr>
      <w:r>
        <w:rPr>
          <w:rFonts w:hint="eastAsia"/>
        </w:rPr>
        <w:t>推广鲜食玉米真空包装技术，积极开发以甜玉米为原料的功能性食品。支持甜玉米营养功能成分提取技术研究，开发营养均衡、养生保健的加工食品。目前国内</w:t>
      </w:r>
      <w:r>
        <w:t>相关企业</w:t>
      </w:r>
      <w:r>
        <w:rPr>
          <w:rFonts w:hint="eastAsia"/>
        </w:rPr>
        <w:t>以及</w:t>
      </w:r>
      <w:r>
        <w:t>科研机构正在积极探索甜玉米的加工利用，</w:t>
      </w:r>
      <w:r>
        <w:rPr>
          <w:rFonts w:hint="eastAsia"/>
        </w:rPr>
        <w:t>开发</w:t>
      </w:r>
      <w:r>
        <w:t>出的甜玉米产品有</w:t>
      </w:r>
      <w:r>
        <w:rPr>
          <w:rFonts w:hint="eastAsia"/>
        </w:rPr>
        <w:t>速冻甜玉米（甜玉米粒的速冻、甜玉米棒的速冻等），甜玉米罐头（甜玉米粒罐头、玉米羹罐头等），甜玉米饮品系列（玉米露、玉米汁等），便利食品系列（甜玉米水饺、甜玉米香肠、八宝粥等）和</w:t>
      </w:r>
      <w:r>
        <w:t>添加</w:t>
      </w:r>
      <w:r>
        <w:rPr>
          <w:rFonts w:hint="eastAsia"/>
        </w:rPr>
        <w:t>食品</w:t>
      </w:r>
      <w:r>
        <w:t>系列</w:t>
      </w:r>
      <w:r>
        <w:rPr>
          <w:rFonts w:hint="eastAsia"/>
        </w:rPr>
        <w:t>（甜玉米色素）等。开展精深加工技术和信息化、智能化、工程化装备研发。</w:t>
      </w:r>
    </w:p>
    <w:p>
      <w:pPr>
        <w:ind w:firstLine="562"/>
        <w:rPr>
          <w:b/>
          <w:szCs w:val="28"/>
        </w:rPr>
      </w:pPr>
      <w:r>
        <w:rPr>
          <w:rFonts w:hint="eastAsia"/>
          <w:b/>
          <w:szCs w:val="28"/>
        </w:rPr>
        <w:t>——食用菌加工</w:t>
      </w:r>
      <w:r>
        <w:rPr>
          <w:b/>
          <w:szCs w:val="28"/>
        </w:rPr>
        <w:t>基地</w:t>
      </w:r>
    </w:p>
    <w:p>
      <w:pPr>
        <w:ind w:firstLine="562"/>
        <w:rPr>
          <w:szCs w:val="28"/>
        </w:rPr>
      </w:pPr>
      <w:r>
        <w:rPr>
          <w:rFonts w:hint="eastAsia"/>
          <w:b/>
          <w:szCs w:val="28"/>
        </w:rPr>
        <w:t>1.产地初加工：</w:t>
      </w:r>
      <w:r>
        <w:rPr>
          <w:rFonts w:hint="eastAsia"/>
          <w:szCs w:val="28"/>
        </w:rPr>
        <w:t>支持农户和农民合作社改善储藏、保鲜、烘干、清选分级、包装等设施装备条件，促进商品化处理，减少产后损失。积极推广适用技术，因地制宜建设初加工设施，提升农产品初加工水平。食用菌可以初加工成为脱水烘干制品、罐头制品、腌制品、糖浸品、膨化品，如低糖菇脯、冻干食用菌、食用菌罐头等，以及利用残菇和下脚料加工成的休闲食品或者即食食品等。</w:t>
      </w:r>
    </w:p>
    <w:p>
      <w:pPr>
        <w:widowControl/>
        <w:ind w:firstLine="562"/>
        <w:jc w:val="left"/>
        <w:rPr>
          <w:szCs w:val="28"/>
        </w:rPr>
      </w:pPr>
      <w:r>
        <w:rPr>
          <w:rFonts w:hint="eastAsia"/>
          <w:b/>
          <w:szCs w:val="28"/>
        </w:rPr>
        <w:t>2.精深加工：</w:t>
      </w:r>
      <w:r>
        <w:rPr>
          <w:rFonts w:hint="eastAsia"/>
          <w:color w:val="0D0D0D" w:themeColor="text1" w:themeTint="F2"/>
          <w14:textFill>
            <w14:solidFill>
              <w14:schemeClr w14:val="tx1">
                <w14:lumMod w14:val="95000"/>
                <w14:lumOff w14:val="5000"/>
              </w14:schemeClr>
            </w14:solidFill>
          </w14:textFill>
        </w:rPr>
        <w:t>随着食用菌产业的发展，食用菌产量增加，食用菌产品的初深加工技术和能力对提高产业附加值和产业的竞争力尤为重要。目前食用菌加工以初加工为主，深加工为辅，应</w:t>
      </w:r>
      <w:r>
        <w:rPr>
          <w:rFonts w:hint="eastAsia"/>
          <w:szCs w:val="28"/>
        </w:rPr>
        <w:t>改进食用菌保鲜技术，充分利用原料加工成速食食品，科学提取食用菌多糖等有效成分，加工速冻制品、真空包装制品、饮料、调味品（香菇方便汤料、蘑菇酱油等）、方便食品（蘑菇泡菜、香菇脯、冰花银耳、茯苓糕、平菇什锦菜、食用菌蜜饯等）、保健品（虫草冲剂、灰树花保健胶囊、灵芝孢子粉、灵芝酒等）另外，还可以将食用菌培养废料加工成如菌糠饲料、菌肥、激素等。拓展食用菌精深加工的产业链，增加</w:t>
      </w:r>
      <w:r>
        <w:rPr>
          <w:szCs w:val="28"/>
        </w:rPr>
        <w:t>产品附加值。</w:t>
      </w:r>
    </w:p>
    <w:p>
      <w:pPr>
        <w:widowControl/>
        <w:ind w:firstLine="560"/>
        <w:jc w:val="left"/>
        <w:rPr>
          <w:szCs w:val="28"/>
        </w:rPr>
      </w:pPr>
    </w:p>
    <w:p>
      <w:pPr>
        <w:widowControl/>
        <w:ind w:firstLine="560"/>
        <w:jc w:val="left"/>
        <w:rPr>
          <w:szCs w:val="28"/>
        </w:rPr>
      </w:pPr>
    </w:p>
    <w:p>
      <w:pPr>
        <w:pStyle w:val="3"/>
        <w:ind w:firstLine="643"/>
      </w:pPr>
      <w:bookmarkStart w:id="90" w:name="_Toc21590138"/>
      <w:bookmarkEnd w:id="90"/>
      <w:bookmarkStart w:id="91" w:name="_Toc21594849"/>
      <w:r>
        <w:rPr>
          <w:rFonts w:hint="eastAsia"/>
        </w:rPr>
        <w:t>二</w:t>
      </w:r>
      <w:r>
        <w:t>、</w:t>
      </w:r>
      <w:r>
        <w:rPr>
          <w:rFonts w:hint="eastAsia"/>
        </w:rPr>
        <w:t>打造三个体系</w:t>
      </w:r>
      <w:bookmarkEnd w:id="91"/>
    </w:p>
    <w:p>
      <w:pPr>
        <w:pStyle w:val="4"/>
        <w:spacing w:before="156" w:after="156"/>
        <w:ind w:firstLine="452"/>
      </w:pPr>
      <w:r>
        <w:rPr>
          <w:rFonts w:hint="eastAsia"/>
        </w:rPr>
        <w:t>（一）科技支撑体系</w:t>
      </w:r>
    </w:p>
    <w:p>
      <w:pPr>
        <w:spacing w:line="360" w:lineRule="auto"/>
        <w:ind w:firstLine="560"/>
        <w:rPr>
          <w:rStyle w:val="20"/>
          <w:rFonts w:ascii="宋体" w:hAnsi="宋体" w:cs="宋体"/>
          <w:color w:val="auto"/>
          <w:szCs w:val="28"/>
          <w:u w:val="none"/>
        </w:rPr>
      </w:pPr>
      <w:r>
        <w:rPr>
          <w:rStyle w:val="20"/>
          <w:rFonts w:hint="eastAsia" w:ascii="宋体" w:hAnsi="宋体" w:cs="宋体"/>
          <w:color w:val="auto"/>
          <w:szCs w:val="28"/>
          <w:u w:val="none"/>
        </w:rPr>
        <w:t>把新品种培育和技术创新作为提升特色农产品市场竞争力的战略措施，加大特色农产品品种资源保护等基础工作，加强新品种培育和提纯复壮，完善良种培育体系和科技支撑体系。</w:t>
      </w:r>
    </w:p>
    <w:p>
      <w:pPr>
        <w:spacing w:line="360" w:lineRule="auto"/>
        <w:ind w:firstLine="562"/>
        <w:rPr>
          <w:rStyle w:val="20"/>
          <w:rFonts w:ascii="宋体" w:hAnsi="宋体" w:cs="宋体"/>
          <w:color w:val="auto"/>
          <w:szCs w:val="28"/>
          <w:u w:val="none"/>
        </w:rPr>
      </w:pPr>
      <w:r>
        <w:rPr>
          <w:rFonts w:hint="eastAsia" w:ascii="宋体" w:hAnsi="宋体" w:cs="宋体"/>
          <w:b/>
          <w:bCs/>
          <w:szCs w:val="28"/>
        </w:rPr>
        <w:t>1.新品种培育。</w:t>
      </w:r>
      <w:r>
        <w:rPr>
          <w:rStyle w:val="20"/>
          <w:rFonts w:hint="eastAsia" w:ascii="宋体" w:hAnsi="宋体" w:cs="宋体"/>
          <w:color w:val="auto"/>
          <w:szCs w:val="28"/>
          <w:u w:val="none"/>
        </w:rPr>
        <w:t>加强特色农产品品种资源基因原生地保护，收集名、特、优、稀农产品品种资源，持续培育特色农产品新品种，进行品种提纯、复壮，保持和改良特色农产品的优良品质特性。根据特色农产品良种需求，建设和布局良种培育基地，发展多种形式的良种生产供应体系，大幅度提高良种覆盖率。</w:t>
      </w:r>
    </w:p>
    <w:p>
      <w:pPr>
        <w:spacing w:line="360" w:lineRule="auto"/>
        <w:ind w:firstLine="562"/>
        <w:rPr>
          <w:rStyle w:val="20"/>
          <w:rFonts w:ascii="宋体" w:hAnsi="宋体" w:cs="宋体"/>
          <w:color w:val="auto"/>
          <w:szCs w:val="28"/>
          <w:u w:val="none"/>
        </w:rPr>
      </w:pPr>
      <w:r>
        <w:rPr>
          <w:rFonts w:hint="eastAsia" w:ascii="宋体" w:hAnsi="宋体" w:cs="宋体"/>
          <w:b/>
          <w:bCs/>
          <w:szCs w:val="28"/>
        </w:rPr>
        <w:t>2.生产与加工技术创新。</w:t>
      </w:r>
      <w:r>
        <w:rPr>
          <w:rStyle w:val="20"/>
          <w:rFonts w:hint="eastAsia" w:ascii="宋体" w:hAnsi="宋体" w:cs="宋体"/>
          <w:color w:val="auto"/>
          <w:szCs w:val="28"/>
          <w:u w:val="none"/>
        </w:rPr>
        <w:t>依靠企业、高校及科研院所、新型经营主体等，重点解决特色种植技术、专用农资、专用机械、病虫害防治、疫病防控、储藏保鲜等关键问题。支持葡萄、银杏、甜玉米、柑桔等营养功能成分提取技术研究，开发营养均衡、养生保健的加工食品。开展精深加工技术和信息化、智能化、工程化装备研发，提高关键装备国产化水平。</w:t>
      </w:r>
    </w:p>
    <w:p>
      <w:pPr>
        <w:spacing w:line="360" w:lineRule="auto"/>
        <w:ind w:firstLine="562"/>
        <w:rPr>
          <w:rStyle w:val="20"/>
          <w:rFonts w:ascii="宋体" w:hAnsi="宋体" w:cs="宋体"/>
          <w:color w:val="auto"/>
          <w:szCs w:val="28"/>
          <w:u w:val="none"/>
        </w:rPr>
      </w:pPr>
      <w:r>
        <w:rPr>
          <w:rFonts w:hint="eastAsia" w:ascii="宋体" w:hAnsi="宋体" w:cs="宋体"/>
          <w:b/>
          <w:bCs/>
          <w:szCs w:val="28"/>
        </w:rPr>
        <w:t>3.生产技术培训与推广。</w:t>
      </w:r>
      <w:r>
        <w:rPr>
          <w:rStyle w:val="20"/>
          <w:rFonts w:hint="eastAsia" w:ascii="宋体" w:hAnsi="宋体" w:cs="宋体"/>
          <w:color w:val="auto"/>
          <w:szCs w:val="28"/>
          <w:u w:val="none"/>
        </w:rPr>
        <w:t>充分发挥农业技术推广体系优势，采取田间指导和集中授课的方式，对农户加强特色农产品生产指导，通过网络、手机APP等方式强化与农户的沟通反馈，及时对新技术、新品种生产效果进行收集，有计划、分层次的向农户传授新技术、新技能。加强科技示范，培育示范农户、树立示范基地，通过鲜活的例子带动农户掌握和推广运用新技术，提高生产效率和产品品质。</w:t>
      </w:r>
    </w:p>
    <w:p>
      <w:pPr>
        <w:spacing w:line="360" w:lineRule="auto"/>
        <w:ind w:firstLine="560"/>
        <w:rPr>
          <w:rStyle w:val="20"/>
          <w:rFonts w:ascii="宋体" w:hAnsi="宋体" w:cs="宋体"/>
          <w:color w:val="auto"/>
          <w:szCs w:val="28"/>
          <w:u w:val="none"/>
        </w:rPr>
      </w:pPr>
    </w:p>
    <w:p>
      <w:pPr>
        <w:pStyle w:val="4"/>
        <w:spacing w:before="156" w:after="156"/>
        <w:ind w:firstLine="452"/>
      </w:pPr>
      <w:r>
        <w:rPr>
          <w:rFonts w:hint="eastAsia"/>
        </w:rPr>
        <w:t>（二）品牌建设与市场营销体系</w:t>
      </w:r>
    </w:p>
    <w:p>
      <w:pPr>
        <w:spacing w:line="588" w:lineRule="exact"/>
        <w:ind w:firstLine="560"/>
        <w:rPr>
          <w:rStyle w:val="20"/>
          <w:rFonts w:ascii="宋体" w:hAnsi="宋体" w:cs="宋体"/>
          <w:color w:val="auto"/>
          <w:szCs w:val="28"/>
          <w:u w:val="none"/>
        </w:rPr>
      </w:pPr>
      <w:r>
        <w:rPr>
          <w:rStyle w:val="20"/>
          <w:rFonts w:hint="eastAsia" w:ascii="宋体" w:hAnsi="宋体" w:cs="宋体"/>
          <w:color w:val="auto"/>
          <w:szCs w:val="28"/>
          <w:u w:val="none"/>
        </w:rPr>
        <w:t>遵循品牌发展规律，充分发挥品牌引领作用，重点抓好“创新、品质、管理、诚信”等重点环节，完善市场营销体系，提高特色农业品牌的知名度和美誉度，扩大消费市场容量，不断提升产业效益。</w:t>
      </w:r>
    </w:p>
    <w:p>
      <w:pPr>
        <w:spacing w:line="588" w:lineRule="exact"/>
        <w:ind w:firstLine="562"/>
        <w:rPr>
          <w:rStyle w:val="20"/>
          <w:rFonts w:ascii="宋体" w:hAnsi="宋体" w:cs="宋体"/>
          <w:color w:val="auto"/>
          <w:szCs w:val="28"/>
          <w:u w:val="none"/>
        </w:rPr>
      </w:pPr>
      <w:r>
        <w:rPr>
          <w:rFonts w:hint="eastAsia" w:ascii="宋体" w:hAnsi="宋体" w:cs="宋体"/>
          <w:b/>
          <w:bCs/>
          <w:szCs w:val="28"/>
        </w:rPr>
        <w:t>1.特色品牌培育。</w:t>
      </w:r>
      <w:r>
        <w:rPr>
          <w:rStyle w:val="20"/>
          <w:rFonts w:hint="eastAsia" w:ascii="宋体" w:hAnsi="宋体" w:cs="宋体"/>
          <w:color w:val="auto"/>
          <w:szCs w:val="28"/>
          <w:u w:val="none"/>
        </w:rPr>
        <w:t>支持绿色食品、有机农产品、地理标志农产品和森林生态标志产品等的申请认证和扩展。依托特优区创建，加强传统品牌的整合，集中建设一批叫得响、有影响的区域公用品牌作为特优区的“地域名片”，提升管理服务能力，培育和扩大消费市场，实现优势优质、优质优价。紧盯市场需求，坚持消费导向，擦亮老品牌，塑强新品牌，努力打造一批国际知名的企业品牌。运用地域差异、品种特性，创建一批具有文化底蕴、鲜明地域特征“小而美”的特色农产品品牌。做好品牌宣传推介，充分利用各种媒体媒介做好形象公关，讲好品牌故事，传播品牌价值，扩大品牌的影响力和传播力。</w:t>
      </w:r>
    </w:p>
    <w:p>
      <w:pPr>
        <w:spacing w:line="588" w:lineRule="exact"/>
        <w:ind w:firstLine="562"/>
        <w:rPr>
          <w:rStyle w:val="20"/>
          <w:rFonts w:ascii="宋体" w:hAnsi="宋体" w:cs="宋体"/>
          <w:color w:val="auto"/>
          <w:szCs w:val="28"/>
          <w:u w:val="none"/>
        </w:rPr>
      </w:pPr>
      <w:r>
        <w:rPr>
          <w:rFonts w:hint="eastAsia" w:ascii="宋体" w:hAnsi="宋体" w:cs="宋体"/>
          <w:b/>
          <w:bCs/>
          <w:szCs w:val="28"/>
        </w:rPr>
        <w:t>2.品牌管理与保护。</w:t>
      </w:r>
      <w:r>
        <w:rPr>
          <w:rStyle w:val="20"/>
          <w:rFonts w:hint="eastAsia" w:ascii="宋体" w:hAnsi="宋体" w:cs="宋体"/>
          <w:color w:val="auto"/>
          <w:szCs w:val="28"/>
          <w:u w:val="none"/>
        </w:rPr>
        <w:t>切实提升品牌管理水平，建立特色品牌目录制度，优化品牌标识，建立区域公用品牌的授权使用机制和品牌危机预警、风险规避和紧急事件应对机制。构建完善品牌保护体系，实时监控、评估品牌状态，综合运用协商、舆论、法律等手段打击各种冒用、滥用公用品牌行为。确保诚信合法经营，以树立“百年品牌”、打造“百年企业”为目标，营造良好品牌建设环境。</w:t>
      </w:r>
    </w:p>
    <w:p>
      <w:pPr>
        <w:spacing w:line="588" w:lineRule="exact"/>
        <w:ind w:firstLine="562"/>
        <w:rPr>
          <w:rStyle w:val="20"/>
          <w:rFonts w:ascii="宋体" w:hAnsi="宋体" w:cs="宋体"/>
          <w:color w:val="auto"/>
          <w:szCs w:val="28"/>
          <w:u w:val="none"/>
        </w:rPr>
      </w:pPr>
      <w:r>
        <w:rPr>
          <w:rFonts w:hint="eastAsia" w:ascii="宋体" w:hAnsi="宋体" w:cs="宋体"/>
          <w:b/>
          <w:bCs/>
          <w:szCs w:val="28"/>
        </w:rPr>
        <w:t>3.市场营销体系。</w:t>
      </w:r>
      <w:r>
        <w:rPr>
          <w:rStyle w:val="20"/>
          <w:rFonts w:hint="eastAsia" w:ascii="宋体" w:hAnsi="宋体" w:cs="宋体"/>
          <w:color w:val="auto"/>
          <w:szCs w:val="28"/>
          <w:u w:val="none"/>
        </w:rPr>
        <w:t>立足特色产业发展实际，借助农产品博览会、农贸会、展销会等渠道，充分利用电商平台、线上线下融合、“互联网+”等各种新兴手段，灵活运用拍卖交易、期货交易等方式，加强特色农产品市场营销，扩大特色农产品市场占有率。支持新型经营主体发展特色农产品的物流运输、快递配送，开展“农批对接”、“农超对接”、“农社对接”、“农校对接”等各种形式的产销对接，以委托生产、订单农业等形式形成长期稳定的产销关系。</w:t>
      </w:r>
    </w:p>
    <w:p>
      <w:pPr>
        <w:pStyle w:val="4"/>
        <w:spacing w:before="156" w:after="156"/>
        <w:ind w:firstLine="452"/>
      </w:pPr>
      <w:r>
        <w:rPr>
          <w:rFonts w:hint="eastAsia"/>
        </w:rPr>
        <w:t>（三）质量控制体系</w:t>
      </w:r>
    </w:p>
    <w:p>
      <w:pPr>
        <w:spacing w:line="360" w:lineRule="auto"/>
        <w:ind w:firstLine="560"/>
        <w:rPr>
          <w:rStyle w:val="20"/>
          <w:rFonts w:ascii="宋体" w:hAnsi="宋体" w:cs="宋体"/>
          <w:color w:val="auto"/>
          <w:szCs w:val="28"/>
          <w:u w:val="none"/>
        </w:rPr>
      </w:pPr>
      <w:r>
        <w:rPr>
          <w:rStyle w:val="20"/>
          <w:rFonts w:hint="eastAsia" w:ascii="宋体" w:hAnsi="宋体" w:cs="宋体"/>
          <w:color w:val="auto"/>
          <w:szCs w:val="28"/>
          <w:u w:val="none"/>
        </w:rPr>
        <w:t>质量是特色农产品的生命线。通过加强质量控制体系建设，确保特色农产品高品质与质量安全，控制产业发展风险，促进特色农产品品牌创建和特色产业持续发展。</w:t>
      </w:r>
    </w:p>
    <w:p>
      <w:pPr>
        <w:spacing w:line="360" w:lineRule="auto"/>
        <w:ind w:firstLine="562"/>
        <w:rPr>
          <w:rStyle w:val="20"/>
          <w:rFonts w:ascii="宋体" w:hAnsi="宋体" w:cs="宋体"/>
          <w:color w:val="auto"/>
          <w:szCs w:val="28"/>
          <w:u w:val="none"/>
        </w:rPr>
      </w:pPr>
      <w:r>
        <w:rPr>
          <w:rFonts w:hint="eastAsia" w:ascii="宋体" w:hAnsi="宋体" w:cs="宋体"/>
          <w:b/>
          <w:bCs/>
          <w:szCs w:val="28"/>
        </w:rPr>
        <w:t>1.生产和产品标准体系。</w:t>
      </w:r>
      <w:r>
        <w:rPr>
          <w:rStyle w:val="20"/>
          <w:rFonts w:hint="eastAsia" w:ascii="宋体" w:hAnsi="宋体" w:cs="宋体"/>
          <w:color w:val="auto"/>
          <w:szCs w:val="28"/>
          <w:u w:val="none"/>
        </w:rPr>
        <w:t>按照与国家、国际标准接轨的要求，完善特色农产品标准体系，形成从生产、加工、仓储、物流等系列标准，加强标准的贯彻落实，做到有标必依，组织标准化生产技术和管理措施的示范推广。推行产地标识管理、产品条码制度，做到质量有标准、过程有规范、销售有标志、市场有监测。</w:t>
      </w:r>
    </w:p>
    <w:p>
      <w:pPr>
        <w:spacing w:line="360" w:lineRule="auto"/>
        <w:ind w:firstLine="562"/>
        <w:rPr>
          <w:rStyle w:val="20"/>
          <w:rFonts w:ascii="宋体" w:hAnsi="宋体" w:cs="宋体"/>
          <w:color w:val="auto"/>
          <w:szCs w:val="28"/>
          <w:u w:val="none"/>
        </w:rPr>
      </w:pPr>
      <w:r>
        <w:rPr>
          <w:rFonts w:hint="eastAsia" w:ascii="宋体" w:hAnsi="宋体" w:cs="宋体"/>
          <w:b/>
          <w:bCs/>
          <w:szCs w:val="28"/>
        </w:rPr>
        <w:t>2.投入品和产品检测能力建设。</w:t>
      </w:r>
      <w:r>
        <w:rPr>
          <w:rStyle w:val="20"/>
          <w:rFonts w:hint="eastAsia" w:ascii="宋体" w:hAnsi="宋体" w:cs="宋体"/>
          <w:color w:val="auto"/>
          <w:szCs w:val="28"/>
          <w:u w:val="none"/>
        </w:rPr>
        <w:t>加强确保农产品质量安全的实验室、检验监测设备等基础设施建设。定期对特优区内特色农产品生产资料监督检查，确保特色农产品生产投入品的安全。加强特色农产品检测机构建设和人员培训，在农产品质检机构完善的区域增加特色农产品检测业务，重点加强检测人员培训，提高业务水平。</w:t>
      </w:r>
    </w:p>
    <w:p>
      <w:pPr>
        <w:spacing w:line="360" w:lineRule="auto"/>
        <w:ind w:firstLine="562"/>
        <w:rPr>
          <w:rStyle w:val="20"/>
          <w:rFonts w:ascii="宋体" w:hAnsi="宋体" w:cs="宋体"/>
          <w:color w:val="auto"/>
          <w:szCs w:val="28"/>
          <w:u w:val="none"/>
        </w:rPr>
      </w:pPr>
      <w:r>
        <w:rPr>
          <w:rFonts w:hint="eastAsia" w:ascii="宋体" w:hAnsi="宋体" w:cs="宋体"/>
          <w:b/>
          <w:bCs/>
          <w:szCs w:val="28"/>
        </w:rPr>
        <w:t>3.产品追溯和质量监管体系。</w:t>
      </w:r>
      <w:r>
        <w:rPr>
          <w:rStyle w:val="20"/>
          <w:rFonts w:hint="eastAsia" w:ascii="宋体" w:hAnsi="宋体" w:cs="宋体"/>
          <w:color w:val="auto"/>
          <w:szCs w:val="28"/>
          <w:u w:val="none"/>
        </w:rPr>
        <w:t>运用互联网和大数据等技术，搭建信息化追溯平台，</w:t>
      </w:r>
      <w:r>
        <w:rPr>
          <w:rFonts w:hint="eastAsia" w:ascii="宋体" w:hAnsi="宋体" w:cs="宋体"/>
          <w:szCs w:val="28"/>
        </w:rPr>
        <w:t>统一追溯模式、统一业务流程、统一编码规则、统一信息采集</w:t>
      </w:r>
      <w:r>
        <w:rPr>
          <w:rStyle w:val="20"/>
          <w:rFonts w:hint="eastAsia" w:ascii="宋体" w:hAnsi="宋体" w:cs="宋体"/>
          <w:color w:val="auto"/>
          <w:szCs w:val="28"/>
          <w:u w:val="none"/>
        </w:rPr>
        <w:t>，实现对特色农产品生产投入品、生产过程、流通过程进行全程追溯，</w:t>
      </w:r>
      <w:r>
        <w:rPr>
          <w:rFonts w:hint="eastAsia" w:ascii="宋体" w:hAnsi="宋体" w:cs="宋体"/>
          <w:szCs w:val="28"/>
        </w:rPr>
        <w:t>规范生产经营行为。</w:t>
      </w:r>
      <w:r>
        <w:rPr>
          <w:rStyle w:val="20"/>
          <w:rFonts w:hint="eastAsia" w:ascii="宋体" w:hAnsi="宋体" w:cs="宋体"/>
          <w:color w:val="auto"/>
          <w:szCs w:val="28"/>
          <w:u w:val="none"/>
        </w:rPr>
        <w:t>加强对特优区内特色农产品质量的监督抽查，突出产地环境监控、投入品监管、生产技术规范、市场准入、市场监测等关键环节，构建从田间到餐桌全程控制、运转高效、反应迅速的特色农产品质量管理体系。</w:t>
      </w:r>
    </w:p>
    <w:p>
      <w:pPr>
        <w:spacing w:line="360" w:lineRule="auto"/>
        <w:ind w:firstLine="560"/>
        <w:rPr>
          <w:rStyle w:val="20"/>
          <w:rFonts w:ascii="宋体" w:hAnsi="宋体" w:cs="宋体"/>
          <w:color w:val="auto"/>
          <w:szCs w:val="28"/>
          <w:u w:val="none"/>
        </w:rPr>
      </w:pPr>
    </w:p>
    <w:p>
      <w:pPr>
        <w:pStyle w:val="3"/>
        <w:ind w:firstLine="643"/>
      </w:pPr>
      <w:bookmarkStart w:id="92" w:name="_Toc21594850"/>
      <w:r>
        <w:rPr>
          <w:rFonts w:hint="eastAsia"/>
        </w:rPr>
        <w:t>三</w:t>
      </w:r>
      <w:r>
        <w:t>、</w:t>
      </w:r>
      <w:r>
        <w:rPr>
          <w:rFonts w:hint="eastAsia"/>
        </w:rPr>
        <w:t>完善建设和运行机制</w:t>
      </w:r>
      <w:bookmarkEnd w:id="92"/>
    </w:p>
    <w:p>
      <w:pPr>
        <w:spacing w:line="360" w:lineRule="auto"/>
        <w:ind w:firstLine="560"/>
        <w:rPr>
          <w:rFonts w:ascii="宋体" w:hAnsi="宋体" w:cs="宋体"/>
          <w:sz w:val="36"/>
          <w:szCs w:val="36"/>
        </w:rPr>
      </w:pPr>
      <w:r>
        <w:rPr>
          <w:rStyle w:val="20"/>
          <w:rFonts w:hint="eastAsia" w:ascii="仿宋_GB2312"/>
          <w:color w:val="auto"/>
          <w:szCs w:val="28"/>
          <w:u w:val="none"/>
        </w:rPr>
        <w:t>按照政府支持、企业运营的基本原则，处理好政府与各类市场主体的关系，形成分工明确、各司其职的体制机制。特优区所在地的地方政府及行业主管部门作为创建主体，要根据地区实际，科学确定特色优势品种和重点区域，组织申报创建特优区，加强对特优区建设的指导、服务和监督，加大对特优区建设的支持力度。要强化特优区公用品牌的管理，维护品牌的权威性，提升品牌价值。特优区内各类龙头企业、合作社、家庭农场、种养大户等是自主经营的市场主体，按照市场化原则开展生产经营。鼓励新型经营主体发展特色农产品标准化生产，提升生产技术和产品品质，采用资源节约型、环境友好型生产模式，引导特优区内新型经营主体与农民建立合理、长期、稳定的利益联结机制，带动特优区内农民持续增收，保障农民合理分享产业发展收益。</w:t>
      </w:r>
    </w:p>
    <w:p>
      <w:pPr>
        <w:widowControl/>
        <w:ind w:firstLine="0" w:firstLineChars="0"/>
        <w:jc w:val="left"/>
        <w:rPr>
          <w:rFonts w:ascii="宋体" w:hAnsi="宋体" w:cs="宋体"/>
          <w:sz w:val="36"/>
          <w:szCs w:val="36"/>
        </w:rPr>
      </w:pPr>
      <w:r>
        <w:rPr>
          <w:rFonts w:ascii="宋体" w:hAnsi="宋体" w:cs="宋体"/>
          <w:sz w:val="36"/>
          <w:szCs w:val="36"/>
        </w:rPr>
        <w:br w:type="page"/>
      </w:r>
    </w:p>
    <w:p>
      <w:pPr>
        <w:pStyle w:val="2"/>
      </w:pPr>
      <w:r>
        <w:fldChar w:fldCharType="begin"/>
      </w:r>
      <w:r>
        <w:instrText xml:space="preserve"> HYPERLINK \l "_Toc529132032" </w:instrText>
      </w:r>
      <w:r>
        <w:fldChar w:fldCharType="separate"/>
      </w:r>
      <w:bookmarkStart w:id="93" w:name="_Toc21594851"/>
      <w:r>
        <w:rPr>
          <w:rFonts w:hint="eastAsia"/>
        </w:rPr>
        <w:t>第六章 区域布局</w:t>
      </w:r>
      <w:bookmarkEnd w:id="93"/>
      <w:r>
        <w:rPr>
          <w:rFonts w:hint="eastAsia"/>
        </w:rPr>
        <w:fldChar w:fldCharType="end"/>
      </w:r>
    </w:p>
    <w:p>
      <w:pPr>
        <w:pStyle w:val="3"/>
        <w:ind w:firstLine="643"/>
      </w:pPr>
      <w:bookmarkStart w:id="94" w:name="_Toc529131809"/>
      <w:bookmarkStart w:id="95" w:name="_Toc529132033"/>
      <w:bookmarkStart w:id="96" w:name="_Toc21594852"/>
      <w:bookmarkStart w:id="97" w:name="_Toc510461947"/>
      <w:r>
        <w:rPr>
          <w:rFonts w:hint="eastAsia"/>
        </w:rPr>
        <w:t>一、布局思路</w:t>
      </w:r>
      <w:bookmarkEnd w:id="94"/>
      <w:bookmarkEnd w:id="95"/>
      <w:bookmarkEnd w:id="96"/>
    </w:p>
    <w:p>
      <w:pPr>
        <w:pStyle w:val="4"/>
        <w:spacing w:before="156" w:after="156"/>
        <w:ind w:firstLine="452"/>
      </w:pPr>
      <w:r>
        <w:rPr>
          <w:rFonts w:hint="eastAsia"/>
        </w:rPr>
        <w:t>（一）种植生态适应性原则</w:t>
      </w:r>
      <w:bookmarkEnd w:id="97"/>
    </w:p>
    <w:p>
      <w:pPr>
        <w:ind w:firstLine="560"/>
        <w:rPr>
          <w:rFonts w:ascii="宋体" w:hAnsi="宋体" w:cs="宋体"/>
          <w:szCs w:val="28"/>
        </w:rPr>
      </w:pPr>
      <w:r>
        <w:rPr>
          <w:rFonts w:hint="eastAsia" w:ascii="宋体" w:hAnsi="宋体" w:cs="宋体"/>
          <w:szCs w:val="28"/>
        </w:rPr>
        <w:t>兴安县地处</w:t>
      </w:r>
      <w:r>
        <w:fldChar w:fldCharType="begin"/>
      </w:r>
      <w:r>
        <w:instrText xml:space="preserve"> HYPERLINK "http://baike.baidu.com/item/%E5%8C%97%E5%9B%9E%E5%BD%92%E7%BA%BF/17718" \t "_blank" </w:instrText>
      </w:r>
      <w:r>
        <w:fldChar w:fldCharType="separate"/>
      </w:r>
      <w:r>
        <w:rPr>
          <w:rFonts w:hint="eastAsia" w:ascii="宋体" w:hAnsi="宋体" w:cs="宋体"/>
          <w:szCs w:val="28"/>
        </w:rPr>
        <w:t>北回归线</w:t>
      </w:r>
      <w:r>
        <w:rPr>
          <w:rFonts w:hint="eastAsia" w:ascii="宋体" w:hAnsi="宋体" w:cs="宋体"/>
          <w:szCs w:val="28"/>
        </w:rPr>
        <w:fldChar w:fldCharType="end"/>
      </w:r>
      <w:r>
        <w:rPr>
          <w:rFonts w:hint="eastAsia" w:ascii="宋体" w:hAnsi="宋体" w:cs="宋体"/>
          <w:szCs w:val="28"/>
        </w:rPr>
        <w:t>附近，属中亚热带湿润季风气候区，气温适宜，雨量充沛，日照时间长，积温多，霜期短。境内东南和西北地势高，东北和西南地势低，中部的湘桂走廊以县城附近的分水岭为中心，地势分别向东北随湘江下落和向西南随漓江降低，形成县内错综复杂的地区性气候特征，水热条件的地域性差异十分明显。</w:t>
      </w:r>
    </w:p>
    <w:p>
      <w:pPr>
        <w:ind w:firstLine="560"/>
        <w:rPr>
          <w:rFonts w:ascii="宋体" w:hAnsi="宋体" w:cs="宋体"/>
          <w:szCs w:val="28"/>
        </w:rPr>
      </w:pPr>
      <w:r>
        <w:rPr>
          <w:rFonts w:hint="eastAsia" w:ascii="宋体" w:hAnsi="宋体" w:cs="宋体"/>
          <w:szCs w:val="28"/>
        </w:rPr>
        <w:t>兴安县的西北和东南为山地，西北部为越城岭山系，逐渐向西南倾斜。东南部是都庞岭的海洋山系，并逐渐向东北倾斜。形成两大山系之间的狭长谷地，称“湘桂走廊”，其间有土岭、石山、河谷平原。整个地形东南和西北高。</w:t>
      </w:r>
    </w:p>
    <w:p>
      <w:pPr>
        <w:ind w:firstLine="560"/>
        <w:rPr>
          <w:rFonts w:ascii="宋体" w:hAnsi="宋体" w:cs="宋体"/>
          <w:szCs w:val="28"/>
        </w:rPr>
      </w:pPr>
      <w:r>
        <w:rPr>
          <w:rFonts w:hint="eastAsia" w:ascii="宋体" w:hAnsi="宋体" w:cs="宋体"/>
          <w:szCs w:val="28"/>
        </w:rPr>
        <w:t>根据</w:t>
      </w:r>
      <w:r>
        <w:rPr>
          <w:rStyle w:val="20"/>
          <w:rFonts w:hint="eastAsia" w:ascii="宋体" w:hAnsi="宋体" w:cs="宋体"/>
          <w:color w:val="auto"/>
          <w:szCs w:val="28"/>
          <w:u w:val="none"/>
        </w:rPr>
        <w:t>葡萄、银杏、甜玉米、柑桔、食用菌</w:t>
      </w:r>
      <w:r>
        <w:rPr>
          <w:rFonts w:hint="eastAsia" w:ascii="宋体" w:hAnsi="宋体" w:cs="宋体"/>
          <w:szCs w:val="28"/>
        </w:rPr>
        <w:t>种植条件与原产地分布情况进行分析：</w:t>
      </w:r>
    </w:p>
    <w:p>
      <w:pPr>
        <w:ind w:firstLine="562"/>
        <w:rPr>
          <w:rFonts w:ascii="宋体" w:hAnsi="宋体" w:cs="宋体"/>
          <w:b/>
          <w:bCs/>
          <w:szCs w:val="28"/>
        </w:rPr>
      </w:pPr>
      <w:r>
        <w:rPr>
          <w:rFonts w:hint="eastAsia" w:ascii="宋体" w:hAnsi="宋体" w:cs="宋体"/>
          <w:b/>
          <w:bCs/>
          <w:szCs w:val="28"/>
        </w:rPr>
        <w:t>1.葡萄</w:t>
      </w:r>
    </w:p>
    <w:p>
      <w:pPr>
        <w:ind w:firstLine="560"/>
        <w:rPr>
          <w:rFonts w:ascii="宋体" w:hAnsi="宋体" w:cs="宋体"/>
          <w:szCs w:val="28"/>
        </w:rPr>
      </w:pPr>
      <w:r>
        <w:rPr>
          <w:rFonts w:hint="eastAsia" w:ascii="宋体" w:hAnsi="宋体" w:cs="宋体"/>
          <w:szCs w:val="28"/>
        </w:rPr>
        <w:t>兴安葡萄种植区域分布在河谷平原与宽谷地，由河流冲积构成的平坦地面以及丘陵地带，可分为水稻土、红壤土、紫色土、冲积土。成土母质为红土母质、河流冲积母质为主，占总面积92.6%，土层厚度≥1米占81.4%，≦0.9米占18.6%。土壤有机质15.2～39.6克/千克，PH值4.9～7.5之间，土壤质地为壤土和中壤土为主，土壤环境适合葡萄生长。</w:t>
      </w:r>
    </w:p>
    <w:p>
      <w:pPr>
        <w:widowControl/>
        <w:shd w:val="clear" w:color="auto" w:fill="FFFFFF"/>
        <w:spacing w:line="360" w:lineRule="auto"/>
        <w:ind w:firstLine="560"/>
        <w:jc w:val="left"/>
        <w:rPr>
          <w:rFonts w:ascii="宋体" w:hAnsi="宋体" w:cs="宋体"/>
          <w:szCs w:val="28"/>
        </w:rPr>
      </w:pPr>
      <w:r>
        <w:rPr>
          <w:rFonts w:hint="eastAsia" w:ascii="宋体" w:hAnsi="宋体" w:cs="宋体"/>
          <w:szCs w:val="28"/>
        </w:rPr>
        <w:t>兴安葡萄保护范围地处中亚热带湿润季风气候区，气温适宜，雨量充沛，年平均气温17.5℃，极端最高气温38.5℃，极端最低气温-5.8℃，平均无霜期293天，平均年降雨量1814.6毫米，5～7月降雨多，占全年降雨量71%。年平均相对空气湿度79%，年平均日照1459.51小时。兴安葡萄保护范围分布在谷地湘桂走廊上，形成区域内错综复杂的地区性气候特征，水热条件的地域性差异十分明显，昼夜温差大，需冷量足，属于次适宜生长葡萄的地区。</w:t>
      </w:r>
    </w:p>
    <w:p>
      <w:pPr>
        <w:widowControl/>
        <w:shd w:val="clear" w:color="auto" w:fill="FFFFFF"/>
        <w:spacing w:line="360" w:lineRule="auto"/>
        <w:ind w:firstLine="560"/>
        <w:jc w:val="left"/>
        <w:rPr>
          <w:rFonts w:ascii="宋体" w:hAnsi="宋体" w:cs="宋体"/>
          <w:szCs w:val="28"/>
        </w:rPr>
      </w:pPr>
      <w:r>
        <w:rPr>
          <w:rFonts w:hint="eastAsia" w:ascii="宋体" w:hAnsi="宋体" w:cs="宋体"/>
          <w:szCs w:val="28"/>
        </w:rPr>
        <w:t>桂林葡萄种植历史悠长，明朝就有以葡萄命名的乡镇，自20世纪80年代中期，兴安县开始引种巨峰葡萄品种，经过30多年的摸索、实践、总结，打造出了一个标准化生产、规模化经营的葡萄产业，2017年4月20日，中华人民共和国农业部正式批准对“兴安葡萄”实施农产品地理标志登记保护。</w:t>
      </w:r>
    </w:p>
    <w:p>
      <w:pPr>
        <w:widowControl/>
        <w:shd w:val="clear" w:color="auto" w:fill="FFFFFF"/>
        <w:spacing w:line="360" w:lineRule="auto"/>
        <w:ind w:firstLine="562"/>
        <w:jc w:val="left"/>
        <w:rPr>
          <w:rFonts w:ascii="宋体" w:hAnsi="宋体" w:cs="宋体"/>
          <w:b/>
          <w:bCs/>
          <w:szCs w:val="28"/>
        </w:rPr>
      </w:pPr>
      <w:r>
        <w:rPr>
          <w:rStyle w:val="20"/>
          <w:rFonts w:hint="eastAsia" w:ascii="宋体" w:hAnsi="宋体" w:cs="宋体"/>
          <w:b/>
          <w:bCs/>
          <w:color w:val="auto"/>
          <w:szCs w:val="28"/>
          <w:u w:val="none"/>
        </w:rPr>
        <w:t>2.银杏</w:t>
      </w:r>
    </w:p>
    <w:p>
      <w:pPr>
        <w:widowControl/>
        <w:shd w:val="clear" w:color="auto" w:fill="FFFFFF"/>
        <w:spacing w:line="360" w:lineRule="auto"/>
        <w:ind w:firstLine="560"/>
        <w:jc w:val="left"/>
        <w:rPr>
          <w:rFonts w:ascii="宋体" w:hAnsi="宋体" w:cs="宋体"/>
          <w:szCs w:val="28"/>
        </w:rPr>
      </w:pPr>
      <w:r>
        <w:rPr>
          <w:rFonts w:hint="eastAsia" w:ascii="宋体" w:hAnsi="宋体" w:cs="宋体"/>
          <w:szCs w:val="28"/>
        </w:rPr>
        <w:t>银杏为喜光树种，深根性，对气候、土壤的适应性较宽，能在高温多雨及雨量稀少、冬季寒冷的地区生长，但生长缓慢或不良；能生于酸性土壤（pH值4.5）、石灰性土壤（pH值8）及中性土壤上，但不耐盐碱土及过湿的土壤。以生于海拔1000（云南1500-2000）米以下，气候温暖湿润，年降水量700-1500毫米，土层深厚、肥沃湿润、排水良好的地区生长最好的地区和平共处在土壤瘠薄干燥、多石山坡过度潮湿的地方均不晚成活或生长不良。</w:t>
      </w:r>
    </w:p>
    <w:p>
      <w:pPr>
        <w:widowControl/>
        <w:shd w:val="clear" w:color="auto" w:fill="FFFFFF"/>
        <w:spacing w:line="360" w:lineRule="auto"/>
        <w:ind w:firstLine="560"/>
        <w:jc w:val="left"/>
        <w:rPr>
          <w:rFonts w:ascii="宋体" w:hAnsi="宋体" w:cs="宋体"/>
          <w:szCs w:val="28"/>
        </w:rPr>
      </w:pPr>
      <w:r>
        <w:rPr>
          <w:rFonts w:hint="eastAsia" w:ascii="宋体" w:hAnsi="宋体" w:cs="宋体"/>
          <w:szCs w:val="28"/>
        </w:rPr>
        <w:t>兴安是全国有名的银杏之乡，拥有悠久的银杏栽培历史，全县银杏面积1</w:t>
      </w:r>
      <w:r>
        <w:rPr>
          <w:rFonts w:ascii="宋体" w:hAnsi="宋体" w:cs="宋体"/>
          <w:szCs w:val="28"/>
        </w:rPr>
        <w:t>5</w:t>
      </w:r>
      <w:r>
        <w:rPr>
          <w:rFonts w:hint="eastAsia" w:ascii="宋体" w:hAnsi="宋体" w:cs="宋体"/>
          <w:szCs w:val="28"/>
        </w:rPr>
        <w:t>万亩，分布10个乡镇，形成了独具特色的银杏风光带。</w:t>
      </w:r>
    </w:p>
    <w:p>
      <w:pPr>
        <w:widowControl/>
        <w:shd w:val="clear" w:color="auto" w:fill="FFFFFF"/>
        <w:spacing w:line="360" w:lineRule="auto"/>
        <w:ind w:firstLine="562"/>
        <w:jc w:val="left"/>
        <w:rPr>
          <w:rFonts w:ascii="宋体" w:hAnsi="宋体" w:cs="宋体"/>
          <w:b/>
          <w:bCs/>
          <w:szCs w:val="28"/>
        </w:rPr>
      </w:pPr>
      <w:r>
        <w:rPr>
          <w:rFonts w:hint="eastAsia" w:ascii="宋体" w:hAnsi="宋体" w:cs="宋体"/>
          <w:b/>
          <w:bCs/>
          <w:szCs w:val="28"/>
        </w:rPr>
        <w:t>3.甜玉米</w:t>
      </w:r>
    </w:p>
    <w:p>
      <w:pPr>
        <w:widowControl/>
        <w:shd w:val="clear" w:color="auto" w:fill="FFFFFF"/>
        <w:spacing w:line="360" w:lineRule="auto"/>
        <w:ind w:firstLine="560"/>
        <w:jc w:val="left"/>
        <w:rPr>
          <w:rFonts w:ascii="宋体" w:hAnsi="宋体" w:cs="宋体"/>
          <w:szCs w:val="28"/>
        </w:rPr>
      </w:pPr>
      <w:r>
        <w:rPr>
          <w:rFonts w:hint="eastAsia" w:ascii="宋体" w:hAnsi="宋体" w:cs="宋体"/>
          <w:szCs w:val="28"/>
        </w:rPr>
        <w:t>甜玉米种子发芽力和顶土力较普通玉米低，对土壤墒情和地温要求比较严格。春播适时早播或移栽时间，应在5～10厘米地温稳定通过10(糯玉米)～12℃(甜玉米)，一般比普通玉米推迟7</w:t>
      </w:r>
      <w:r>
        <w:rPr>
          <w:rFonts w:ascii="宋体" w:hAnsi="宋体" w:cs="宋体"/>
          <w:szCs w:val="28"/>
        </w:rPr>
        <w:t>-</w:t>
      </w:r>
      <w:r>
        <w:rPr>
          <w:rFonts w:hint="eastAsia" w:ascii="宋体" w:hAnsi="宋体" w:cs="宋体"/>
          <w:szCs w:val="28"/>
        </w:rPr>
        <w:t>10天。播种过早，土温低，发芽出苗慢，易烂种造成缺苗。</w:t>
      </w:r>
    </w:p>
    <w:p>
      <w:pPr>
        <w:widowControl/>
        <w:shd w:val="clear" w:color="auto" w:fill="FFFFFF"/>
        <w:spacing w:line="360" w:lineRule="auto"/>
        <w:ind w:firstLine="560"/>
        <w:jc w:val="left"/>
        <w:rPr>
          <w:rFonts w:ascii="宋体" w:hAnsi="宋体" w:cs="宋体"/>
          <w:szCs w:val="28"/>
        </w:rPr>
      </w:pPr>
      <w:r>
        <w:rPr>
          <w:rFonts w:hint="eastAsia" w:ascii="宋体" w:hAnsi="宋体" w:cs="宋体"/>
          <w:szCs w:val="28"/>
        </w:rPr>
        <w:t>甜玉米日平均气温稳定在12℃以上，适宜播种。苗期、拔节期，生长下限温度为10℃，最适温度为18℃～20℃；孕穗、抽雄期，下限温度为17℃，上限温度为35℃，最适温度为24℃～26℃；灌浆期最适温度为24℃左右，0℃为致死温度。温度高低对玉米出苗快慢影响很大，在10℃～12℃时，一般播后18~20天出苗，但播种后长期低温会形成僵苗、弱苗；在15～18℃时，8～10天出苗；在20～35℃时，5～6天即可出苗，并且出苗率最高;超过40℃后，幼苗停止发育。</w:t>
      </w:r>
    </w:p>
    <w:p>
      <w:pPr>
        <w:widowControl/>
        <w:shd w:val="clear" w:color="auto" w:fill="FFFFFF"/>
        <w:spacing w:line="360" w:lineRule="auto"/>
        <w:ind w:firstLine="560"/>
        <w:jc w:val="left"/>
        <w:rPr>
          <w:rFonts w:ascii="宋体" w:hAnsi="宋体" w:cs="宋体"/>
          <w:szCs w:val="28"/>
        </w:rPr>
      </w:pPr>
      <w:r>
        <w:rPr>
          <w:rFonts w:hint="eastAsia" w:ascii="宋体" w:hAnsi="宋体" w:cs="宋体"/>
          <w:szCs w:val="28"/>
        </w:rPr>
        <w:t>玉米在吸收种子干重的48%～50%水分时，就能正常发芽。当5～10厘米土层中的土壤水分为田间最大持水量的60%时，即可满足种子发芽的需要。当土壤水分为田间最大持水量的70%左右时，出苗快、出苗率高。当土壤水分达田间持水量80%以上时，因土壤水分过多，空气不足，容易烂种，影响出苗。</w:t>
      </w:r>
    </w:p>
    <w:p>
      <w:pPr>
        <w:widowControl/>
        <w:shd w:val="clear" w:color="auto" w:fill="FFFFFF"/>
        <w:spacing w:line="360" w:lineRule="auto"/>
        <w:ind w:firstLine="560"/>
        <w:jc w:val="left"/>
        <w:rPr>
          <w:rFonts w:ascii="宋体" w:hAnsi="宋体" w:cs="宋体"/>
          <w:szCs w:val="28"/>
        </w:rPr>
      </w:pPr>
      <w:r>
        <w:rPr>
          <w:rFonts w:hint="eastAsia" w:ascii="宋体" w:hAnsi="宋体" w:cs="宋体"/>
          <w:szCs w:val="28"/>
        </w:rPr>
        <w:t>甜玉米喜欢生长在土质肥沃和保水能力出色的土质中，另外土壤最好是中性或者弱酸性土壤，并且具有有利的排水和浇水条件才可以；兴安县的土壤气候条件非常适合甜玉米生长，2003年兴安县高尚镇引进台湾甜玉米品种华珍种植成功，至今已经有16年种植历史。</w:t>
      </w:r>
    </w:p>
    <w:p>
      <w:pPr>
        <w:widowControl/>
        <w:shd w:val="clear" w:color="auto" w:fill="FFFFFF"/>
        <w:spacing w:line="360" w:lineRule="auto"/>
        <w:ind w:firstLine="562"/>
        <w:jc w:val="left"/>
        <w:rPr>
          <w:rFonts w:ascii="宋体" w:hAnsi="宋体" w:cs="宋体"/>
          <w:b/>
          <w:bCs/>
          <w:szCs w:val="28"/>
        </w:rPr>
      </w:pPr>
      <w:r>
        <w:rPr>
          <w:rStyle w:val="20"/>
          <w:rFonts w:hint="eastAsia" w:ascii="宋体" w:hAnsi="宋体" w:cs="宋体"/>
          <w:b/>
          <w:bCs/>
          <w:color w:val="auto"/>
          <w:szCs w:val="28"/>
          <w:u w:val="none"/>
        </w:rPr>
        <w:t>4.柑桔</w:t>
      </w:r>
    </w:p>
    <w:p>
      <w:pPr>
        <w:widowControl/>
        <w:shd w:val="clear" w:color="auto" w:fill="FFFFFF"/>
        <w:spacing w:line="360" w:lineRule="auto"/>
        <w:ind w:firstLine="560"/>
        <w:jc w:val="left"/>
        <w:rPr>
          <w:rFonts w:ascii="宋体" w:hAnsi="宋体" w:cs="宋体"/>
          <w:szCs w:val="28"/>
        </w:rPr>
      </w:pPr>
      <w:r>
        <w:rPr>
          <w:rFonts w:hint="eastAsia" w:ascii="宋体" w:hAnsi="宋体" w:cs="宋体"/>
          <w:szCs w:val="28"/>
        </w:rPr>
        <w:t>柑</w:t>
      </w:r>
      <w:r>
        <w:rPr>
          <w:rStyle w:val="20"/>
          <w:rFonts w:hint="eastAsia" w:ascii="宋体" w:hAnsi="宋体" w:cs="宋体"/>
          <w:color w:val="auto"/>
          <w:szCs w:val="28"/>
          <w:u w:val="none"/>
        </w:rPr>
        <w:t>桔</w:t>
      </w:r>
      <w:r>
        <w:rPr>
          <w:rFonts w:hint="eastAsia" w:ascii="宋体" w:hAnsi="宋体" w:cs="宋体"/>
          <w:szCs w:val="28"/>
        </w:rPr>
        <w:t>果树生长发育、开花结果与温度、日照、水分(湿度)、土壤以及风、海拔、地形和坡向等环境条件紧密相关，这些条件影响最大的数温度。即使差异0.5℃的气温有时会出现截然不同的结果。柑</w:t>
      </w:r>
      <w:r>
        <w:rPr>
          <w:rStyle w:val="20"/>
          <w:rFonts w:hint="eastAsia" w:ascii="宋体" w:hAnsi="宋体" w:cs="宋体"/>
          <w:color w:val="auto"/>
          <w:szCs w:val="28"/>
          <w:u w:val="none"/>
        </w:rPr>
        <w:t>桔</w:t>
      </w:r>
      <w:r>
        <w:rPr>
          <w:rFonts w:hint="eastAsia" w:ascii="宋体" w:hAnsi="宋体" w:cs="宋体"/>
          <w:szCs w:val="28"/>
        </w:rPr>
        <w:t>生长发育要求12.5～37℃的温度。秋季花芽分化要求昼夜温度分别为20℃左右和10℃左右，根系生长的土温与地上部大致相同。过低的温度会使柑桔受冻。</w:t>
      </w:r>
    </w:p>
    <w:p>
      <w:pPr>
        <w:widowControl/>
        <w:shd w:val="clear" w:color="auto" w:fill="FFFFFF"/>
        <w:spacing w:line="360" w:lineRule="auto"/>
        <w:ind w:firstLine="560"/>
        <w:jc w:val="left"/>
        <w:rPr>
          <w:rFonts w:ascii="宋体" w:hAnsi="宋体" w:cs="宋体"/>
          <w:szCs w:val="28"/>
        </w:rPr>
      </w:pPr>
      <w:r>
        <w:rPr>
          <w:rFonts w:hint="eastAsia" w:ascii="宋体" w:hAnsi="宋体" w:cs="宋体"/>
          <w:szCs w:val="28"/>
        </w:rPr>
        <w:t>柑</w:t>
      </w:r>
      <w:r>
        <w:rPr>
          <w:rStyle w:val="20"/>
          <w:rFonts w:hint="eastAsia" w:ascii="宋体" w:hAnsi="宋体" w:cs="宋体"/>
          <w:color w:val="auto"/>
          <w:szCs w:val="28"/>
          <w:u w:val="none"/>
        </w:rPr>
        <w:t>桔</w:t>
      </w:r>
      <w:r>
        <w:rPr>
          <w:rFonts w:hint="eastAsia" w:ascii="宋体" w:hAnsi="宋体" w:cs="宋体"/>
          <w:szCs w:val="28"/>
        </w:rPr>
        <w:t>对土壤的适应范围较广，紫色土、红黄壤、沙滩和海涂，pH值4.5～8均可生长，以pH值5.5～6.5为最适宜。柑</w:t>
      </w:r>
      <w:r>
        <w:rPr>
          <w:rStyle w:val="20"/>
          <w:rFonts w:hint="eastAsia" w:ascii="宋体" w:hAnsi="宋体" w:cs="宋体"/>
          <w:color w:val="auto"/>
          <w:szCs w:val="28"/>
          <w:u w:val="none"/>
        </w:rPr>
        <w:t>桔</w:t>
      </w:r>
      <w:r>
        <w:rPr>
          <w:rFonts w:hint="eastAsia" w:ascii="宋体" w:hAnsi="宋体" w:cs="宋体"/>
          <w:szCs w:val="28"/>
        </w:rPr>
        <w:t>根系生长要求较高的含氧量，以土壤质地疏松，结构良好，有机质含量2%～3%，排水良好的土壤最适宜。可见，兴安县的气候、土壤都适合柑桔的种植。</w:t>
      </w:r>
    </w:p>
    <w:p>
      <w:pPr>
        <w:widowControl/>
        <w:shd w:val="clear" w:color="auto" w:fill="FFFFFF"/>
        <w:spacing w:line="360" w:lineRule="auto"/>
        <w:ind w:firstLine="562"/>
        <w:jc w:val="left"/>
        <w:rPr>
          <w:rFonts w:ascii="宋体" w:hAnsi="宋体" w:cs="宋体"/>
          <w:b/>
          <w:bCs/>
          <w:szCs w:val="28"/>
        </w:rPr>
      </w:pPr>
      <w:r>
        <w:rPr>
          <w:rFonts w:hint="eastAsia" w:ascii="宋体" w:hAnsi="宋体" w:cs="宋体"/>
          <w:b/>
          <w:bCs/>
          <w:szCs w:val="28"/>
        </w:rPr>
        <w:t>5.食用菌</w:t>
      </w:r>
    </w:p>
    <w:p>
      <w:pPr>
        <w:autoSpaceDN w:val="0"/>
        <w:spacing w:line="560" w:lineRule="exact"/>
        <w:ind w:firstLine="560"/>
        <w:jc w:val="left"/>
        <w:rPr>
          <w:rFonts w:ascii="宋体" w:hAnsi="宋体" w:cs="宋体"/>
          <w:szCs w:val="28"/>
        </w:rPr>
      </w:pPr>
      <w:r>
        <w:rPr>
          <w:rFonts w:hint="eastAsia" w:ascii="宋体" w:hAnsi="宋体" w:cs="宋体"/>
          <w:szCs w:val="28"/>
        </w:rPr>
        <w:t>201</w:t>
      </w:r>
      <w:r>
        <w:rPr>
          <w:rFonts w:ascii="宋体" w:hAnsi="宋体" w:cs="宋体"/>
          <w:szCs w:val="28"/>
        </w:rPr>
        <w:t>8</w:t>
      </w:r>
      <w:r>
        <w:rPr>
          <w:rFonts w:hint="eastAsia" w:ascii="宋体" w:hAnsi="宋体" w:cs="宋体"/>
          <w:szCs w:val="28"/>
        </w:rPr>
        <w:t>年，兴安县种植食用菌</w:t>
      </w:r>
      <w:r>
        <w:rPr>
          <w:rFonts w:ascii="宋体" w:hAnsi="宋体" w:cs="宋体"/>
          <w:szCs w:val="28"/>
        </w:rPr>
        <w:t>560</w:t>
      </w:r>
      <w:r>
        <w:rPr>
          <w:rFonts w:hint="eastAsia" w:ascii="宋体" w:hAnsi="宋体" w:cs="宋体"/>
          <w:szCs w:val="28"/>
        </w:rPr>
        <w:t>万平方米，总产4984万</w:t>
      </w:r>
      <w:r>
        <w:rPr>
          <w:rFonts w:ascii="宋体" w:hAnsi="宋体" w:cs="宋体"/>
          <w:szCs w:val="28"/>
        </w:rPr>
        <w:t>公斤，</w:t>
      </w:r>
      <w:r>
        <w:rPr>
          <w:rFonts w:hint="eastAsia" w:ascii="宋体" w:hAnsi="宋体" w:cs="宋体"/>
          <w:szCs w:val="28"/>
        </w:rPr>
        <w:t>产值</w:t>
      </w:r>
      <w:r>
        <w:rPr>
          <w:rFonts w:ascii="宋体" w:hAnsi="宋体" w:cs="宋体"/>
          <w:szCs w:val="28"/>
        </w:rPr>
        <w:t>3</w:t>
      </w:r>
      <w:r>
        <w:rPr>
          <w:rFonts w:hint="eastAsia" w:ascii="宋体" w:hAnsi="宋体" w:cs="宋体"/>
          <w:szCs w:val="28"/>
        </w:rPr>
        <w:t>亿元，占农林牧渔业总产值的9.6%。</w:t>
      </w:r>
      <w:r>
        <w:rPr>
          <w:rFonts w:hint="eastAsia"/>
          <w:color w:val="000000" w:themeColor="text1"/>
          <w14:textFill>
            <w14:solidFill>
              <w14:schemeClr w14:val="tx1"/>
            </w14:solidFill>
          </w14:textFill>
        </w:rPr>
        <w:t>以黑</w:t>
      </w:r>
      <w:r>
        <w:rPr>
          <w:color w:val="000000" w:themeColor="text1"/>
          <w14:textFill>
            <w14:solidFill>
              <w14:schemeClr w14:val="tx1"/>
            </w14:solidFill>
          </w14:textFill>
        </w:rPr>
        <w:t>木耳为主，</w:t>
      </w:r>
      <w:r>
        <w:rPr>
          <w:rFonts w:hint="eastAsia"/>
        </w:rPr>
        <w:t>品种有黑木耳、毛木耳、云耳</w:t>
      </w:r>
      <w:r>
        <w:t>、</w:t>
      </w:r>
      <w:r>
        <w:rPr>
          <w:rFonts w:hint="eastAsia"/>
        </w:rPr>
        <w:t>反季节秀珍菇、香菇、平菇、鸡腿菇、凤尾菇</w:t>
      </w:r>
      <w:r>
        <w:t>、</w:t>
      </w:r>
      <w:r>
        <w:rPr>
          <w:rFonts w:hint="eastAsia"/>
        </w:rPr>
        <w:t>茶树菇、姬菇、灵芝、双孢蘑菇等十多个品种。</w:t>
      </w:r>
      <w:r>
        <w:rPr>
          <w:rFonts w:hint="eastAsia" w:ascii="宋体" w:hAnsi="宋体" w:cs="宋体"/>
          <w:szCs w:val="28"/>
        </w:rPr>
        <w:t>主推的高产高效技术及模式有岩洞反季节双孢蘑菇高产高效集成技术、葡萄枝栽培反季节秀珍菇、露地及设施黑木耳栽培技术等，促进食用菌生产规模化、现代化</w:t>
      </w:r>
      <w:r>
        <w:rPr>
          <w:rFonts w:ascii="宋体" w:hAnsi="宋体" w:cs="宋体"/>
          <w:szCs w:val="28"/>
        </w:rPr>
        <w:t>、</w:t>
      </w:r>
      <w:r>
        <w:rPr>
          <w:rFonts w:hint="eastAsia" w:ascii="宋体" w:hAnsi="宋体" w:cs="宋体"/>
          <w:szCs w:val="28"/>
        </w:rPr>
        <w:t>产业标准</w:t>
      </w:r>
      <w:r>
        <w:rPr>
          <w:rFonts w:ascii="宋体" w:hAnsi="宋体" w:cs="宋体"/>
          <w:szCs w:val="28"/>
        </w:rPr>
        <w:t>方向</w:t>
      </w:r>
      <w:r>
        <w:rPr>
          <w:rFonts w:hint="eastAsia" w:ascii="宋体" w:hAnsi="宋体" w:cs="宋体"/>
          <w:szCs w:val="28"/>
        </w:rPr>
        <w:t>化发展。2012年兴安县被广西农业厅授予“广西食用菌产业发展十强县”称号。</w:t>
      </w:r>
    </w:p>
    <w:p>
      <w:pPr>
        <w:ind w:firstLine="560"/>
      </w:pPr>
      <w:r>
        <w:rPr>
          <w:rFonts w:hint="eastAsia" w:ascii="宋体" w:hAnsi="宋体" w:cs="宋体"/>
          <w:szCs w:val="28"/>
        </w:rPr>
        <w:t>乡镇主要</w:t>
      </w:r>
      <w:r>
        <w:rPr>
          <w:rFonts w:ascii="宋体" w:hAnsi="宋体" w:cs="宋体"/>
          <w:szCs w:val="28"/>
        </w:rPr>
        <w:t>种植品种</w:t>
      </w:r>
      <w:r>
        <w:rPr>
          <w:rFonts w:hint="eastAsia" w:ascii="宋体" w:hAnsi="宋体" w:cs="宋体"/>
          <w:szCs w:val="28"/>
        </w:rPr>
        <w:t>，高山镇：黑</w:t>
      </w:r>
      <w:r>
        <w:rPr>
          <w:rFonts w:ascii="宋体" w:hAnsi="宋体" w:cs="宋体"/>
          <w:szCs w:val="28"/>
        </w:rPr>
        <w:t>木耳、</w:t>
      </w:r>
      <w:r>
        <w:rPr>
          <w:rFonts w:hint="eastAsia" w:ascii="宋体" w:hAnsi="宋体" w:cs="宋体"/>
          <w:szCs w:val="28"/>
        </w:rPr>
        <w:t>毛</w:t>
      </w:r>
      <w:r>
        <w:rPr>
          <w:rFonts w:ascii="宋体" w:hAnsi="宋体" w:cs="宋体"/>
          <w:szCs w:val="28"/>
        </w:rPr>
        <w:t>木耳、姬菇、灵芝；湘漓镇</w:t>
      </w:r>
      <w:r>
        <w:rPr>
          <w:rFonts w:hint="eastAsia" w:ascii="宋体" w:hAnsi="宋体" w:cs="宋体"/>
          <w:szCs w:val="28"/>
        </w:rPr>
        <w:t>：</w:t>
      </w:r>
      <w:r>
        <w:rPr>
          <w:rFonts w:hint="eastAsia"/>
        </w:rPr>
        <w:t>反季节秀珍菇、</w:t>
      </w:r>
      <w:r>
        <w:t>鸡枞菇、猪肚菇；兴安镇：香菇、平菇</w:t>
      </w:r>
      <w:r>
        <w:rPr>
          <w:rFonts w:hint="eastAsia"/>
        </w:rPr>
        <w:t>、</w:t>
      </w:r>
      <w:r>
        <w:t>凤尾菇；严关镇：香菇、毛木耳、</w:t>
      </w:r>
      <w:r>
        <w:rPr>
          <w:rFonts w:hint="eastAsia"/>
        </w:rPr>
        <w:t>黑木耳</w:t>
      </w:r>
      <w:r>
        <w:t>、灵芝、姬菇；</w:t>
      </w:r>
      <w:r>
        <w:rPr>
          <w:rFonts w:hint="eastAsia"/>
        </w:rPr>
        <w:t>溶</w:t>
      </w:r>
      <w:r>
        <w:t>江镇：灵芝；</w:t>
      </w:r>
      <w:r>
        <w:rPr>
          <w:rFonts w:hint="eastAsia"/>
        </w:rPr>
        <w:t>崔家乡</w:t>
      </w:r>
      <w:r>
        <w:t>：</w:t>
      </w:r>
      <w:r>
        <w:rPr>
          <w:rFonts w:hint="eastAsia"/>
        </w:rPr>
        <w:t>黑木耳</w:t>
      </w:r>
      <w:r>
        <w:t>；华江瑶族乡：段栽黑木耳、毛木耳。</w:t>
      </w:r>
    </w:p>
    <w:p>
      <w:pPr>
        <w:pStyle w:val="4"/>
        <w:spacing w:before="156" w:after="156"/>
        <w:ind w:firstLine="452"/>
      </w:pPr>
      <w:bookmarkStart w:id="98" w:name="_Toc510461948"/>
      <w:r>
        <w:rPr>
          <w:rFonts w:hint="eastAsia"/>
        </w:rPr>
        <w:t>（二）适于群众积极性原则</w:t>
      </w:r>
      <w:bookmarkEnd w:id="98"/>
    </w:p>
    <w:p>
      <w:pPr>
        <w:widowControl/>
        <w:shd w:val="clear" w:color="auto" w:fill="FFFFFF"/>
        <w:spacing w:before="100" w:beforeAutospacing="1" w:after="100" w:afterAutospacing="1" w:line="360" w:lineRule="auto"/>
        <w:ind w:firstLine="560"/>
        <w:jc w:val="left"/>
        <w:rPr>
          <w:rFonts w:ascii="宋体" w:hAnsi="宋体" w:cs="宋体"/>
          <w:szCs w:val="28"/>
        </w:rPr>
      </w:pPr>
      <w:r>
        <w:rPr>
          <w:rFonts w:hint="eastAsia" w:ascii="宋体" w:hAnsi="宋体" w:cs="宋体"/>
          <w:szCs w:val="28"/>
        </w:rPr>
        <w:t>主导产业的种植过程中要严格进行种植管理，包括育苗、选苗、种植、施肥、灌溉、整形修剪、病虫害诊断和防治、采收等一系列种植管理过程，还受市场价格波动等风险，需要群众具有强烈的积极性，参与到主导产业的种植和管理中。同时将主导产业种植布局在群众积极性高的区域，特别是贫困区域，从而激发脱贫攻坚的内生动力，充分发挥贫困群众的主观能动性和创造性，主导产业种植布局应遵循群众积极性原则，在群众积极性高的地区，能有效避免主导产业种植争地矛盾，营造完善的主导产业种植人文环境。</w:t>
      </w:r>
    </w:p>
    <w:p>
      <w:pPr>
        <w:pStyle w:val="4"/>
        <w:spacing w:before="156" w:after="156"/>
        <w:ind w:firstLine="452"/>
      </w:pPr>
      <w:bookmarkStart w:id="99" w:name="_Toc510461949"/>
      <w:r>
        <w:rPr>
          <w:rFonts w:hint="eastAsia"/>
        </w:rPr>
        <w:t>（三）依托优势条件，避开保护区域</w:t>
      </w:r>
      <w:bookmarkEnd w:id="99"/>
    </w:p>
    <w:p>
      <w:pPr>
        <w:widowControl/>
        <w:shd w:val="clear" w:color="auto" w:fill="FFFFFF"/>
        <w:spacing w:before="100" w:beforeAutospacing="1" w:after="100" w:afterAutospacing="1" w:line="360" w:lineRule="auto"/>
        <w:ind w:firstLine="560"/>
        <w:jc w:val="left"/>
        <w:rPr>
          <w:rFonts w:ascii="宋体" w:hAnsi="宋体" w:cs="宋体"/>
          <w:szCs w:val="28"/>
        </w:rPr>
      </w:pPr>
      <w:r>
        <w:rPr>
          <w:rFonts w:hint="eastAsia" w:ascii="宋体" w:hAnsi="宋体" w:cs="宋体"/>
          <w:szCs w:val="28"/>
        </w:rPr>
        <w:t>对接国家地方农业产业政策和兴安县城乡建设规划、土地利用总体规划、国民经济与社会发展十三五规划纲要等上位规划，对于“禁止种植区和限制种植区”的要求，应避开在水体水系区域、城镇建设用地区域、居民生活区、主要交通干道、地质灾害区等一定范围内建设种植基地。避开工业、矿区重点建设规划区，多规合一，确保主导产业种植区域生态健康。同时避开兴安县水源保护区、森林保护区等重要生态环境保护区域，保障自然保护区功能，发挥生态空间效益。</w:t>
      </w:r>
    </w:p>
    <w:p>
      <w:pPr>
        <w:pStyle w:val="4"/>
        <w:spacing w:before="156" w:after="156"/>
        <w:ind w:firstLine="452"/>
      </w:pPr>
      <w:bookmarkStart w:id="100" w:name="_Toc510461950"/>
      <w:r>
        <w:rPr>
          <w:rFonts w:hint="eastAsia"/>
        </w:rPr>
        <w:t>（四）适于现代化种植原则</w:t>
      </w:r>
      <w:bookmarkEnd w:id="100"/>
    </w:p>
    <w:p>
      <w:pPr>
        <w:spacing w:line="360" w:lineRule="auto"/>
        <w:ind w:firstLine="560"/>
        <w:rPr>
          <w:rFonts w:ascii="宋体" w:hAnsi="宋体" w:cs="宋体"/>
          <w:szCs w:val="28"/>
        </w:rPr>
      </w:pPr>
      <w:r>
        <w:rPr>
          <w:rFonts w:hint="eastAsia" w:ascii="宋体" w:hAnsi="宋体" w:cs="宋体"/>
          <w:szCs w:val="28"/>
          <w:shd w:val="clear" w:color="auto" w:fill="FFFFFF"/>
        </w:rPr>
        <w:t>农业科技化是特优区产业发展的必然趋势，机械化种植建设工程有效的解决资源浪费，管理粗放，人工不足等问题。将主导产业种植布局于适于现代自动化设施的区域，一般为较坡度小于15°的区域，有利于设施的布置，将农业科技应用于主导产业种植过程中，科学管理，精准管控，既能节省施肥劳力，提高肥料的利用率，提高主导产业种植抵御风险的能力。</w:t>
      </w:r>
    </w:p>
    <w:p>
      <w:pPr>
        <w:pStyle w:val="4"/>
        <w:spacing w:before="156" w:after="156"/>
        <w:ind w:firstLine="452"/>
      </w:pPr>
      <w:bookmarkStart w:id="101" w:name="_Toc510461951"/>
      <w:r>
        <w:rPr>
          <w:rFonts w:hint="eastAsia"/>
        </w:rPr>
        <w:t>（五）</w:t>
      </w:r>
      <w:bookmarkEnd w:id="101"/>
      <w:r>
        <w:rPr>
          <w:rFonts w:hint="eastAsia"/>
        </w:rPr>
        <w:t>协调联动原则</w:t>
      </w:r>
    </w:p>
    <w:p>
      <w:pPr>
        <w:spacing w:line="360" w:lineRule="auto"/>
        <w:ind w:firstLine="560"/>
        <w:rPr>
          <w:rFonts w:ascii="宋体" w:hAnsi="宋体" w:cs="宋体"/>
          <w:szCs w:val="28"/>
          <w:shd w:val="clear" w:color="auto" w:fill="FFFFFF"/>
        </w:rPr>
      </w:pPr>
      <w:r>
        <w:rPr>
          <w:rFonts w:hint="eastAsia" w:ascii="宋体" w:hAnsi="宋体" w:cs="宋体"/>
          <w:szCs w:val="28"/>
          <w:shd w:val="clear" w:color="auto" w:fill="FFFFFF"/>
        </w:rPr>
        <w:t>在满足兴安县种植业转型升级发展要求的同时，应注重与桂林市和兴安县其他领域的协调联动，积极衔接已编制的相关规划，如《桂林市国民经济和社会发展第十三个五年规划纲要》、《桂林休闲农业发展规划（2012-2020年）》和城乡规划、土地管理、环境保护等领域的相关规划。</w:t>
      </w:r>
    </w:p>
    <w:p>
      <w:pPr>
        <w:pStyle w:val="3"/>
        <w:ind w:firstLine="643"/>
      </w:pPr>
      <w:bookmarkStart w:id="102" w:name="_Toc529132034"/>
      <w:bookmarkStart w:id="103" w:name="_Toc529131810"/>
      <w:bookmarkStart w:id="104" w:name="_Toc21594853"/>
      <w:r>
        <w:rPr>
          <w:rFonts w:hint="eastAsia"/>
        </w:rPr>
        <w:t>二、总体空间布局</w:t>
      </w:r>
      <w:bookmarkEnd w:id="102"/>
      <w:bookmarkEnd w:id="103"/>
      <w:bookmarkEnd w:id="104"/>
    </w:p>
    <w:p>
      <w:pPr>
        <w:spacing w:line="360" w:lineRule="auto"/>
        <w:ind w:firstLine="560"/>
        <w:rPr>
          <w:rFonts w:ascii="宋体" w:hAnsi="宋体" w:cs="宋体"/>
          <w:b/>
          <w:szCs w:val="28"/>
        </w:rPr>
      </w:pPr>
      <w:r>
        <w:rPr>
          <w:rFonts w:hint="eastAsia" w:ascii="宋体" w:hAnsi="宋体" w:cs="宋体"/>
          <w:szCs w:val="28"/>
        </w:rPr>
        <w:t>在坚持生态保护原则的基础上，科学的开发，依托兴安县域优良的生态环境条件、丰富的水文条件和土地资源条件，根据兴安县主导产业的分布状况以及兴安县可利用主导产业土地资源条件和社会经济情况，综合考虑兴安县的整体定位和发展目标，对兴安县主导产业种植产业、加工销售体系进行整体的空间发展布局。把特优区划分为：</w:t>
      </w:r>
      <w:r>
        <w:rPr>
          <w:rFonts w:hint="eastAsia" w:ascii="宋体" w:hAnsi="宋体" w:cs="宋体"/>
          <w:b/>
          <w:szCs w:val="28"/>
        </w:rPr>
        <w:t>“一心、一带、两片区”。</w:t>
      </w:r>
    </w:p>
    <w:p>
      <w:pPr>
        <w:spacing w:line="360" w:lineRule="auto"/>
        <w:ind w:firstLine="0" w:firstLineChars="0"/>
        <w:rPr>
          <w:rFonts w:ascii="宋体" w:hAnsi="宋体" w:cs="宋体"/>
          <w:b/>
          <w:szCs w:val="28"/>
        </w:rPr>
      </w:pPr>
      <w:r>
        <w:rPr>
          <w:rFonts w:hint="eastAsia" w:ascii="宋体" w:hAnsi="宋体" w:cs="宋体"/>
          <w:b/>
        </w:rPr>
        <w:drawing>
          <wp:inline distT="0" distB="0" distL="114300" distR="114300">
            <wp:extent cx="6406515" cy="5251450"/>
            <wp:effectExtent l="0" t="0" r="0"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4" cstate="print">
                      <a:extLst>
                        <a:ext uri="{28A0092B-C50C-407E-A947-70E740481C1C}">
                          <a14:useLocalDpi xmlns:a14="http://schemas.microsoft.com/office/drawing/2010/main" val="0"/>
                        </a:ext>
                      </a:extLst>
                    </a:blip>
                    <a:srcRect l="7930" r="5804"/>
                    <a:stretch>
                      <a:fillRect/>
                    </a:stretch>
                  </pic:blipFill>
                  <pic:spPr>
                    <a:xfrm>
                      <a:off x="0" y="0"/>
                      <a:ext cx="6418516" cy="5261176"/>
                    </a:xfrm>
                    <a:prstGeom prst="rect">
                      <a:avLst/>
                    </a:prstGeom>
                    <a:noFill/>
                    <a:ln>
                      <a:noFill/>
                    </a:ln>
                  </pic:spPr>
                </pic:pic>
              </a:graphicData>
            </a:graphic>
          </wp:inline>
        </w:drawing>
      </w:r>
    </w:p>
    <w:p>
      <w:pPr>
        <w:spacing w:line="360" w:lineRule="auto"/>
        <w:ind w:firstLine="0" w:firstLineChars="0"/>
        <w:jc w:val="center"/>
        <w:rPr>
          <w:rFonts w:ascii="宋体" w:hAnsi="宋体" w:cs="宋体"/>
          <w:b/>
          <w:szCs w:val="28"/>
        </w:rPr>
      </w:pPr>
      <w:r>
        <w:rPr>
          <w:rFonts w:hint="eastAsia" w:ascii="宋体" w:hAnsi="宋体" w:cs="宋体"/>
          <w:szCs w:val="28"/>
        </w:rPr>
        <w:t>图</w:t>
      </w:r>
      <w:r>
        <w:rPr>
          <w:rFonts w:ascii="宋体" w:hAnsi="宋体" w:cs="宋体"/>
          <w:szCs w:val="28"/>
        </w:rPr>
        <w:t xml:space="preserve">6-1 </w:t>
      </w:r>
      <w:r>
        <w:rPr>
          <w:rFonts w:hint="eastAsia" w:ascii="宋体" w:hAnsi="宋体" w:cs="宋体"/>
          <w:szCs w:val="28"/>
        </w:rPr>
        <w:t>空间布局图</w:t>
      </w:r>
    </w:p>
    <w:p>
      <w:pPr>
        <w:spacing w:line="360" w:lineRule="auto"/>
        <w:ind w:firstLine="562"/>
        <w:rPr>
          <w:rFonts w:ascii="宋体" w:hAnsi="宋体" w:cs="宋体"/>
          <w:b/>
          <w:szCs w:val="28"/>
        </w:rPr>
      </w:pPr>
      <w:r>
        <w:rPr>
          <w:rFonts w:hint="eastAsia" w:ascii="宋体" w:hAnsi="宋体" w:cs="宋体"/>
          <w:b/>
          <w:szCs w:val="28"/>
        </w:rPr>
        <w:t>一心：</w:t>
      </w:r>
    </w:p>
    <w:p>
      <w:pPr>
        <w:spacing w:line="360" w:lineRule="auto"/>
        <w:ind w:firstLine="562"/>
        <w:rPr>
          <w:rFonts w:ascii="宋体" w:hAnsi="宋体" w:cs="宋体"/>
          <w:szCs w:val="28"/>
        </w:rPr>
      </w:pPr>
      <w:r>
        <w:rPr>
          <w:rFonts w:hint="eastAsia" w:ascii="宋体" w:hAnsi="宋体" w:cs="宋体"/>
          <w:b/>
          <w:szCs w:val="28"/>
        </w:rPr>
        <w:t>即兴安县现代特色农产品加工产业园，</w:t>
      </w:r>
      <w:r>
        <w:rPr>
          <w:rFonts w:hint="eastAsia" w:ascii="宋体" w:hAnsi="宋体" w:cs="宋体"/>
          <w:szCs w:val="28"/>
        </w:rPr>
        <w:t>建设一个规范化、功能设施齐全、管理及服务方式先进的现代特色农产品加工产业园，建设内容有：兴安县特色农产品加工产业园、兴安县特色农产品体验馆、兴安县特色农产品品种展示园、国际交流中心、特色农产品文化休闲广场等，打造一个集科技孵化、精深加工、仓储物流、展示展销、电子商务、会议培训、科普教育、美食品尝于一体的综合性现代特色农产品加工物流中心，未来将成为全县乃至桂林现代特色农业科技辐射“源”和特色农产品“走出去”的对外“窗口”。</w:t>
      </w:r>
    </w:p>
    <w:p>
      <w:pPr>
        <w:spacing w:line="360" w:lineRule="auto"/>
        <w:ind w:firstLine="562"/>
        <w:rPr>
          <w:rFonts w:ascii="宋体" w:hAnsi="宋体" w:cs="宋体"/>
          <w:b/>
          <w:szCs w:val="28"/>
        </w:rPr>
      </w:pPr>
      <w:r>
        <w:rPr>
          <w:rFonts w:hint="eastAsia" w:ascii="宋体" w:hAnsi="宋体" w:cs="宋体"/>
          <w:b/>
          <w:szCs w:val="28"/>
        </w:rPr>
        <w:t>一带：</w:t>
      </w:r>
    </w:p>
    <w:p>
      <w:pPr>
        <w:spacing w:line="360" w:lineRule="auto"/>
        <w:ind w:firstLine="562"/>
        <w:rPr>
          <w:rFonts w:ascii="宋体" w:hAnsi="宋体" w:cs="宋体"/>
          <w:szCs w:val="28"/>
        </w:rPr>
      </w:pPr>
      <w:r>
        <w:rPr>
          <w:rFonts w:hint="eastAsia" w:ascii="宋体" w:hAnsi="宋体" w:cs="宋体"/>
          <w:b/>
          <w:szCs w:val="28"/>
        </w:rPr>
        <w:t>优质高效农业发展带：</w:t>
      </w:r>
      <w:r>
        <w:rPr>
          <w:rFonts w:hint="eastAsia" w:ascii="宋体" w:hAnsi="宋体" w:cs="宋体"/>
          <w:bCs/>
          <w:szCs w:val="28"/>
        </w:rPr>
        <w:t>以贯穿兴安县中部的重要运输通道322国道、G72高速为依托，连接兴安县特色农产品加工物流中心，北上至全州、湖南；南下至桂林、南宁</w:t>
      </w:r>
      <w:r>
        <w:rPr>
          <w:rFonts w:hint="eastAsia" w:ascii="宋体" w:hAnsi="宋体" w:cs="宋体"/>
          <w:szCs w:val="28"/>
        </w:rPr>
        <w:t>。</w:t>
      </w:r>
    </w:p>
    <w:p>
      <w:pPr>
        <w:pStyle w:val="13"/>
        <w:widowControl/>
        <w:spacing w:beforeAutospacing="0" w:afterAutospacing="0" w:line="640" w:lineRule="exact"/>
        <w:ind w:firstLine="562" w:firstLineChars="200"/>
        <w:rPr>
          <w:rFonts w:ascii="宋体" w:hAnsi="宋体" w:cs="宋体"/>
          <w:sz w:val="28"/>
          <w:szCs w:val="28"/>
        </w:rPr>
      </w:pPr>
      <w:r>
        <w:rPr>
          <w:rFonts w:hint="eastAsia" w:ascii="宋体" w:hAnsi="宋体" w:cs="宋体"/>
          <w:b/>
          <w:sz w:val="28"/>
          <w:szCs w:val="28"/>
        </w:rPr>
        <w:t>两片区：</w:t>
      </w:r>
      <w:r>
        <w:rPr>
          <w:rFonts w:hint="eastAsia" w:ascii="宋体" w:hAnsi="宋体" w:cs="宋体"/>
          <w:b/>
          <w:bCs/>
          <w:sz w:val="28"/>
          <w:szCs w:val="28"/>
        </w:rPr>
        <w:t>以特优区优势产业分布为依托，以乡镇为分界线，分为南北两个片区。</w:t>
      </w:r>
    </w:p>
    <w:p>
      <w:pPr>
        <w:pStyle w:val="13"/>
        <w:widowControl/>
        <w:spacing w:beforeAutospacing="0" w:afterAutospacing="0" w:line="640" w:lineRule="exact"/>
        <w:ind w:firstLine="562" w:firstLineChars="200"/>
        <w:rPr>
          <w:rFonts w:ascii="宋体" w:hAnsi="宋体" w:cs="宋体"/>
          <w:sz w:val="28"/>
          <w:szCs w:val="28"/>
        </w:rPr>
      </w:pPr>
      <w:r>
        <w:rPr>
          <w:rFonts w:hint="eastAsia" w:ascii="宋体" w:hAnsi="宋体" w:cs="宋体"/>
          <w:b/>
          <w:bCs/>
          <w:sz w:val="28"/>
          <w:szCs w:val="28"/>
        </w:rPr>
        <w:t>南片区</w:t>
      </w:r>
      <w:r>
        <w:rPr>
          <w:rFonts w:hint="eastAsia" w:ascii="宋体" w:hAnsi="宋体" w:cs="宋体"/>
          <w:sz w:val="28"/>
          <w:szCs w:val="28"/>
        </w:rPr>
        <w:t>：在溶江镇（不含金石片区）、严关镇、兴安镇、湘漓镇、界首镇、高尚镇、崔家乡、白石乡、漠川乡等几个</w:t>
      </w:r>
      <w:r>
        <w:rPr>
          <w:rFonts w:ascii="宋体" w:hAnsi="宋体" w:cs="宋体"/>
          <w:sz w:val="28"/>
          <w:szCs w:val="28"/>
        </w:rPr>
        <w:t>乡镇</w:t>
      </w:r>
      <w:r>
        <w:rPr>
          <w:rFonts w:hint="eastAsia" w:ascii="宋体" w:hAnsi="宋体" w:cs="宋体"/>
          <w:sz w:val="28"/>
          <w:szCs w:val="28"/>
        </w:rPr>
        <w:t>，以葡萄、银杏、甜玉米、柑桔</w:t>
      </w:r>
      <w:r>
        <w:rPr>
          <w:rFonts w:ascii="宋体" w:hAnsi="宋体" w:cs="宋体"/>
          <w:sz w:val="28"/>
          <w:szCs w:val="28"/>
        </w:rPr>
        <w:t>为主要优势</w:t>
      </w:r>
      <w:r>
        <w:rPr>
          <w:rFonts w:hint="eastAsia" w:ascii="宋体" w:hAnsi="宋体" w:cs="宋体"/>
          <w:sz w:val="28"/>
          <w:szCs w:val="28"/>
        </w:rPr>
        <w:t>种植</w:t>
      </w:r>
      <w:r>
        <w:rPr>
          <w:rFonts w:ascii="宋体" w:hAnsi="宋体" w:cs="宋体"/>
          <w:sz w:val="28"/>
          <w:szCs w:val="28"/>
        </w:rPr>
        <w:t>品种</w:t>
      </w:r>
      <w:r>
        <w:rPr>
          <w:rFonts w:hint="eastAsia" w:ascii="宋体" w:hAnsi="宋体" w:cs="宋体"/>
          <w:sz w:val="28"/>
          <w:szCs w:val="28"/>
        </w:rPr>
        <w:t>，形成：</w:t>
      </w:r>
      <w:r>
        <w:rPr>
          <w:rFonts w:hint="eastAsia" w:ascii="宋体" w:hAnsi="宋体" w:cs="宋体"/>
          <w:b/>
          <w:sz w:val="28"/>
          <w:szCs w:val="28"/>
        </w:rPr>
        <w:t>南部葡萄、银杏、甜玉米、柑桔优势主产区。</w:t>
      </w:r>
    </w:p>
    <w:p>
      <w:pPr>
        <w:spacing w:line="360" w:lineRule="auto"/>
        <w:ind w:firstLine="562"/>
        <w:rPr>
          <w:rFonts w:ascii="宋体" w:hAnsi="宋体" w:cs="宋体"/>
          <w:b/>
          <w:szCs w:val="28"/>
        </w:rPr>
      </w:pPr>
      <w:r>
        <w:rPr>
          <w:rFonts w:hint="eastAsia" w:ascii="宋体" w:hAnsi="宋体" w:cs="宋体"/>
          <w:b/>
          <w:bCs/>
          <w:szCs w:val="28"/>
        </w:rPr>
        <w:t>北片区</w:t>
      </w:r>
      <w:r>
        <w:rPr>
          <w:rFonts w:hint="eastAsia" w:ascii="宋体" w:hAnsi="宋体" w:cs="宋体"/>
          <w:szCs w:val="28"/>
        </w:rPr>
        <w:t>：以</w:t>
      </w:r>
      <w:r>
        <w:rPr>
          <w:rFonts w:ascii="宋体" w:hAnsi="宋体" w:cs="宋体"/>
          <w:szCs w:val="28"/>
        </w:rPr>
        <w:t>溶江</w:t>
      </w:r>
      <w:r>
        <w:rPr>
          <w:rFonts w:hint="eastAsia" w:ascii="宋体" w:hAnsi="宋体" w:cs="宋体"/>
          <w:kern w:val="0"/>
          <w:szCs w:val="28"/>
          <w:lang w:bidi="ar"/>
        </w:rPr>
        <w:t>镇（金石片区）、华江瑶族乡</w:t>
      </w:r>
      <w:r>
        <w:rPr>
          <w:rFonts w:hint="eastAsia" w:ascii="仿宋" w:hAnsi="仿宋" w:cs="宋体"/>
        </w:rPr>
        <w:t>两</w:t>
      </w:r>
      <w:r>
        <w:rPr>
          <w:rFonts w:ascii="仿宋" w:hAnsi="仿宋" w:cs="宋体"/>
        </w:rPr>
        <w:t>个</w:t>
      </w:r>
      <w:r>
        <w:rPr>
          <w:rFonts w:hint="eastAsia" w:ascii="仿宋" w:hAnsi="仿宋" w:cs="宋体"/>
        </w:rPr>
        <w:t>主要以</w:t>
      </w:r>
      <w:r>
        <w:rPr>
          <w:rFonts w:ascii="仿宋" w:hAnsi="仿宋" w:cs="宋体"/>
        </w:rPr>
        <w:t>食用菌栽培为主，其他品种种植较少的乡镇</w:t>
      </w:r>
      <w:r>
        <w:rPr>
          <w:rFonts w:hint="eastAsia" w:ascii="仿宋" w:hAnsi="仿宋" w:cs="宋体"/>
        </w:rPr>
        <w:t>划分</w:t>
      </w:r>
      <w:r>
        <w:rPr>
          <w:rFonts w:hint="eastAsia" w:ascii="宋体" w:hAnsi="宋体" w:cs="宋体"/>
          <w:kern w:val="0"/>
          <w:szCs w:val="28"/>
          <w:lang w:bidi="ar"/>
        </w:rPr>
        <w:t>为：</w:t>
      </w:r>
      <w:r>
        <w:rPr>
          <w:rFonts w:hint="eastAsia" w:ascii="宋体" w:hAnsi="宋体" w:cs="宋体"/>
          <w:b/>
          <w:szCs w:val="28"/>
        </w:rPr>
        <w:t>北部食用菌优势发展区。</w:t>
      </w:r>
    </w:p>
    <w:p>
      <w:pPr>
        <w:spacing w:line="360" w:lineRule="auto"/>
        <w:ind w:firstLine="562"/>
        <w:rPr>
          <w:rFonts w:ascii="宋体" w:hAnsi="宋体" w:cs="宋体"/>
          <w:b/>
          <w:szCs w:val="28"/>
        </w:rPr>
      </w:pPr>
    </w:p>
    <w:p>
      <w:pPr>
        <w:pStyle w:val="3"/>
        <w:ind w:firstLine="643"/>
      </w:pPr>
      <w:bookmarkStart w:id="105" w:name="_Toc529131811"/>
      <w:bookmarkStart w:id="106" w:name="_Toc21594854"/>
      <w:bookmarkStart w:id="107" w:name="_Toc529132035"/>
      <w:r>
        <w:rPr>
          <w:rFonts w:hint="eastAsia"/>
        </w:rPr>
        <w:t>三、开发时序</w:t>
      </w:r>
      <w:bookmarkEnd w:id="105"/>
      <w:bookmarkEnd w:id="106"/>
      <w:bookmarkEnd w:id="107"/>
    </w:p>
    <w:p>
      <w:pPr>
        <w:spacing w:line="360" w:lineRule="auto"/>
        <w:ind w:firstLine="560"/>
        <w:rPr>
          <w:rFonts w:ascii="宋体" w:hAnsi="宋体" w:cs="宋体"/>
          <w:szCs w:val="28"/>
        </w:rPr>
      </w:pPr>
      <w:r>
        <w:rPr>
          <w:rFonts w:hint="eastAsia" w:ascii="宋体" w:hAnsi="宋体" w:cs="宋体"/>
          <w:szCs w:val="28"/>
        </w:rPr>
        <w:t>主导产业的开发时序，首先主要遵循目标市场导向和消费者的需求和市场定位，确定限值主导产业发展的首要因素，打破限值因素，重点建设；其次根据市场群体，区位条件，建设种植地点和产品加工、储藏物流基地；再者，建立主导产业质量控制体系及主导产业农药化肥标准种植体系，以确保种植产品质量，保证为消费者提供安全放心产品；最后做好品牌营销、产品策划、电子商务、种植技术推广的配套服务体系，让优质主导产业抢占更广的市场范围。</w:t>
      </w:r>
    </w:p>
    <w:p>
      <w:pPr>
        <w:spacing w:line="360" w:lineRule="auto"/>
        <w:ind w:firstLine="560"/>
        <w:rPr>
          <w:rFonts w:ascii="宋体" w:hAnsi="宋体" w:cs="宋体"/>
          <w:szCs w:val="28"/>
        </w:rPr>
      </w:pPr>
      <w:r>
        <w:rPr>
          <w:rFonts w:hint="eastAsia" w:ascii="宋体" w:hAnsi="宋体" w:cs="宋体"/>
          <w:szCs w:val="28"/>
        </w:rPr>
        <w:t>兴安县特色农产品优势区建设分4年进行，分年度建设内容如下：2019年夯实基础，攻克难关。建设主导产业特优区专家队伍，制定主导产业标准体系，开展绿色食品标准化生产技术培训，按现行标准体系重点建立主导产业健康产业园、主导产业种苗培育基地、主导产业绿色食品标准化生产试点示范基地、主导产业综合交易市场。并开展精深加工和副产物综合利用研究，开展主导产业品牌培育和产品营销，2020年拓展示范，重点保障质量安全和品质提升，以建立的绿色食品标准化生产示范基地为样板，完善电商销售平台，重点建立主导产业绿色食品标准化生产示范基地，区域内种植规模达50亩以上的合作社和家庭农场都需配套建设检测和产地收储设施，农产品质量安全追溯全覆盖，在溶江镇、兴安镇、莫川乡三个葡萄主导产业主要产地，沿着主要交通干线共建立3个冷藏物流基地（葡萄产地预冷保鲜中心），加快主导产业冷藏物流网的建设；2021年，主导产业绿色循环标准化生产全面铺开，涉及主导产业的每个乡镇至少建1-2个以上标准化生产基地，绿色食品论证面积达60%的要求，区域内特色主导产业70%以上农户享受二次以上利益分配，建设主导产业精深加工和副产物综合利用基地。</w:t>
      </w:r>
    </w:p>
    <w:p>
      <w:pPr>
        <w:pStyle w:val="2"/>
      </w:pPr>
      <w:r>
        <w:rPr>
          <w:rFonts w:ascii="宋体" w:hAnsi="宋体" w:cs="宋体"/>
          <w:szCs w:val="28"/>
        </w:rPr>
        <w:br w:type="page"/>
      </w:r>
      <w:r>
        <w:fldChar w:fldCharType="begin"/>
      </w:r>
      <w:r>
        <w:instrText xml:space="preserve"> HYPERLINK \l "_Toc529132044" </w:instrText>
      </w:r>
      <w:r>
        <w:fldChar w:fldCharType="separate"/>
      </w:r>
      <w:bookmarkStart w:id="108" w:name="_Toc21594855"/>
      <w:r>
        <w:rPr>
          <w:rFonts w:hint="eastAsia"/>
        </w:rPr>
        <w:t>第七章 主导产业发展与布局</w:t>
      </w:r>
      <w:bookmarkEnd w:id="108"/>
      <w:r>
        <w:rPr>
          <w:rFonts w:hint="eastAsia"/>
        </w:rPr>
        <w:fldChar w:fldCharType="end"/>
      </w:r>
    </w:p>
    <w:p>
      <w:pPr>
        <w:pStyle w:val="3"/>
        <w:spacing w:line="600" w:lineRule="exact"/>
        <w:ind w:firstLine="643"/>
      </w:pPr>
      <w:r>
        <w:fldChar w:fldCharType="begin"/>
      </w:r>
      <w:r>
        <w:instrText xml:space="preserve"> HYPERLINK \l "_Toc529132045" </w:instrText>
      </w:r>
      <w:r>
        <w:fldChar w:fldCharType="separate"/>
      </w:r>
      <w:bookmarkStart w:id="109" w:name="_Toc21594856"/>
      <w:r>
        <w:rPr>
          <w:rStyle w:val="20"/>
          <w:rFonts w:hint="eastAsia" w:ascii="宋体" w:hAnsi="宋体" w:cs="宋体"/>
          <w:color w:val="auto"/>
          <w:u w:val="none"/>
        </w:rPr>
        <w:t>一、葡萄产业</w:t>
      </w:r>
      <w:r>
        <w:rPr>
          <w:rFonts w:hint="eastAsia"/>
        </w:rPr>
        <w:t>发展与布局</w:t>
      </w:r>
      <w:bookmarkEnd w:id="109"/>
      <w:r>
        <w:rPr>
          <w:rFonts w:hint="eastAsia"/>
        </w:rPr>
        <w:fldChar w:fldCharType="end"/>
      </w:r>
    </w:p>
    <w:p>
      <w:pPr>
        <w:pStyle w:val="4"/>
        <w:spacing w:before="156" w:after="156" w:line="600" w:lineRule="exact"/>
        <w:ind w:firstLine="452"/>
      </w:pPr>
      <w:r>
        <w:rPr>
          <w:rFonts w:hint="eastAsia"/>
        </w:rPr>
        <w:t>（一）发展方向</w:t>
      </w:r>
    </w:p>
    <w:p>
      <w:pPr>
        <w:spacing w:line="600" w:lineRule="exact"/>
        <w:ind w:firstLine="562"/>
        <w:jc w:val="left"/>
        <w:rPr>
          <w:rFonts w:ascii="宋体" w:hAnsi="宋体" w:cs="宋体"/>
          <w:szCs w:val="28"/>
        </w:rPr>
      </w:pPr>
      <w:r>
        <w:rPr>
          <w:rFonts w:hint="eastAsia" w:ascii="宋体" w:hAnsi="宋体" w:cs="宋体"/>
          <w:b/>
          <w:szCs w:val="28"/>
        </w:rPr>
        <w:t>1.结构优化调整。</w:t>
      </w:r>
      <w:r>
        <w:rPr>
          <w:rFonts w:hint="eastAsia" w:ascii="宋体" w:hAnsi="宋体" w:cs="宋体"/>
          <w:szCs w:val="28"/>
        </w:rPr>
        <w:t>以优化葡萄品种和品质结构为重点，提高全县葡萄产业的质量和效益。在品种结构上，加快引进优质品种，根据市场需求扩大早、晚熟品种种植规模，提高均衡上市能力和淡季供应能力；在品质结构上，重点建设无公害、绿色、有机葡萄生产基地；在区域结构上，全面改善主产区的农业生产条件，建设一批以延迟、限产、生态促成等栽培技术为主的山地葡萄示范基地，优化区域布局。</w:t>
      </w:r>
    </w:p>
    <w:p>
      <w:pPr>
        <w:spacing w:line="600" w:lineRule="exact"/>
        <w:ind w:firstLine="562"/>
        <w:jc w:val="left"/>
        <w:rPr>
          <w:rFonts w:ascii="宋体" w:hAnsi="宋体" w:cs="宋体"/>
          <w:szCs w:val="28"/>
        </w:rPr>
      </w:pPr>
      <w:r>
        <w:rPr>
          <w:rFonts w:hint="eastAsia" w:ascii="宋体" w:hAnsi="宋体" w:cs="宋体"/>
          <w:b/>
          <w:szCs w:val="28"/>
        </w:rPr>
        <w:t>2.精品建设和知名品牌培育。</w:t>
      </w:r>
      <w:r>
        <w:rPr>
          <w:rFonts w:hint="eastAsia" w:ascii="宋体" w:hAnsi="宋体" w:cs="宋体"/>
          <w:szCs w:val="28"/>
        </w:rPr>
        <w:t>充分利用兴安县的自然生态环境优势，培育发展一批优质、高端精品，满足中高档消费群体的需求。着力推进品牌建设，鼓励开展“三品一标”认证和出口基地备案工作；增强经营主体商标意识，打造兴安地域生态、绿色葡萄品牌，争创“中国名牌”和“中国驰名商标”，发挥品牌效应，提高市场认知度和影响力，实现优质优价，以高效益引导全县葡萄产业标准化生产，促进产业做大做强。同时，通过组织经营主体参加境内外农产品展览和推进会等方式，支持兴安葡萄走出国门，拓展国际市场空间。</w:t>
      </w:r>
    </w:p>
    <w:p>
      <w:pPr>
        <w:spacing w:line="600" w:lineRule="exact"/>
        <w:ind w:firstLine="562"/>
        <w:jc w:val="left"/>
        <w:rPr>
          <w:rFonts w:ascii="宋体" w:hAnsi="宋体" w:cs="宋体"/>
          <w:szCs w:val="28"/>
        </w:rPr>
      </w:pPr>
      <w:r>
        <w:rPr>
          <w:rFonts w:hint="eastAsia" w:ascii="宋体" w:hAnsi="宋体" w:cs="宋体"/>
          <w:b/>
          <w:szCs w:val="28"/>
        </w:rPr>
        <w:t>3.冷链物流体系建设。</w:t>
      </w:r>
      <w:r>
        <w:rPr>
          <w:rFonts w:hint="eastAsia" w:ascii="宋体" w:hAnsi="宋体" w:cs="宋体"/>
          <w:szCs w:val="28"/>
        </w:rPr>
        <w:t>重点加强分级、包装、预冷等设施建设，提高优势产区葡萄采后商品化处理能力，延长葡萄保鲜期、减少损耗；发展贮藏保鲜、冷藏运输，推进跨地区长途调运的冷链物流配送体系建设，实现葡萄错峰销售。鼓励大型果品批发市场、连锁超市、葡萄流通企业、专业合作社等购置预冷、低温分拣加工、冷藏运输工具等冷链设施设备，加大冷库等冷链物流基础设施建设力度，积极培育具有一定规模的专业化葡萄冷链物流服务企业。</w:t>
      </w:r>
    </w:p>
    <w:p>
      <w:pPr>
        <w:spacing w:line="360" w:lineRule="auto"/>
        <w:ind w:firstLine="551" w:firstLineChars="196"/>
        <w:jc w:val="left"/>
        <w:rPr>
          <w:rFonts w:ascii="宋体" w:hAnsi="宋体" w:cs="宋体"/>
          <w:szCs w:val="28"/>
        </w:rPr>
      </w:pPr>
      <w:r>
        <w:rPr>
          <w:rFonts w:hint="eastAsia" w:ascii="宋体" w:hAnsi="宋体" w:cs="宋体"/>
          <w:b/>
          <w:szCs w:val="28"/>
        </w:rPr>
        <w:t>4.提升组织化程度。</w:t>
      </w:r>
      <w:r>
        <w:rPr>
          <w:rFonts w:hint="eastAsia" w:ascii="宋体" w:hAnsi="宋体" w:cs="宋体"/>
          <w:szCs w:val="28"/>
        </w:rPr>
        <w:t>在葡萄优势产区，扶持一批农民专业合作社和规模化经营主体，重点建设集约化育苗、统防统治、商品化处理等设施，开展统一农资供应、统一技术规程、统一生产标准、统一产品质量、统一品牌销售“五统一”的组织化经营，建设规模化、标准化、连片化的种植基地，逐步解决一家一户生产管理、技术推广、产品销售、质量监管难的问题，提高葡萄生产的规模化组织化程度和产业化水平。</w:t>
      </w:r>
    </w:p>
    <w:p>
      <w:pPr>
        <w:spacing w:line="360" w:lineRule="auto"/>
        <w:ind w:firstLine="562"/>
        <w:rPr>
          <w:rFonts w:ascii="宋体" w:hAnsi="宋体" w:cs="宋体"/>
          <w:szCs w:val="28"/>
        </w:rPr>
      </w:pPr>
      <w:r>
        <w:rPr>
          <w:rFonts w:hint="eastAsia" w:ascii="宋体" w:hAnsi="宋体" w:cs="宋体"/>
          <w:b/>
          <w:szCs w:val="28"/>
        </w:rPr>
        <w:t>5.拓展葡萄产业功能。</w:t>
      </w:r>
      <w:r>
        <w:rPr>
          <w:rFonts w:hint="eastAsia" w:ascii="宋体" w:hAnsi="宋体" w:cs="宋体"/>
          <w:szCs w:val="28"/>
        </w:rPr>
        <w:t>大力弘扬葡萄文化，采取协会牵头、政府补助的形式，举办葡萄节、葡萄展示、摄影大赛、采摘等活动，展现兴安葡萄的优良品质和独特魅力。将葡萄采摘体验和葡萄品鉴作为促销主题，销售对象定位于大中城市拥有私家车、中上等收入水平的家庭以及组织集体户外活动的单位和组织。通过第一产业与第三产业有机融合，有效拓展葡萄产业发展空间，提升经济效益。</w:t>
      </w:r>
    </w:p>
    <w:p>
      <w:pPr>
        <w:spacing w:line="360" w:lineRule="auto"/>
        <w:ind w:firstLine="562"/>
        <w:rPr>
          <w:rFonts w:ascii="宋体" w:hAnsi="宋体" w:cs="宋体"/>
          <w:szCs w:val="28"/>
        </w:rPr>
      </w:pPr>
      <w:r>
        <w:rPr>
          <w:rFonts w:ascii="宋体" w:hAnsi="宋体" w:cs="宋体"/>
          <w:b/>
          <w:szCs w:val="28"/>
        </w:rPr>
        <w:t>6.</w:t>
      </w:r>
      <w:r>
        <w:rPr>
          <w:rFonts w:hint="eastAsia" w:ascii="宋体" w:hAnsi="宋体" w:cs="宋体"/>
          <w:b/>
          <w:szCs w:val="28"/>
        </w:rPr>
        <w:t>精深加工</w:t>
      </w:r>
      <w:r>
        <w:rPr>
          <w:rFonts w:ascii="宋体" w:hAnsi="宋体" w:cs="宋体"/>
          <w:b/>
          <w:szCs w:val="28"/>
        </w:rPr>
        <w:t>。</w:t>
      </w:r>
      <w:r>
        <w:rPr>
          <w:rFonts w:hint="eastAsia" w:ascii="宋体" w:hAnsi="宋体" w:cs="宋体"/>
          <w:szCs w:val="28"/>
        </w:rPr>
        <w:t>目前没有形成一家葡萄深加工企业，兴安</w:t>
      </w:r>
      <w:r>
        <w:rPr>
          <w:rFonts w:ascii="宋体" w:hAnsi="宋体" w:cs="宋体"/>
          <w:szCs w:val="28"/>
        </w:rPr>
        <w:t>葡萄以鲜食葡萄为主，</w:t>
      </w:r>
      <w:r>
        <w:rPr>
          <w:rFonts w:hint="eastAsia" w:ascii="宋体" w:hAnsi="宋体" w:cs="宋体"/>
          <w:szCs w:val="28"/>
        </w:rPr>
        <w:t>葡萄产量</w:t>
      </w:r>
      <w:r>
        <w:rPr>
          <w:rFonts w:ascii="宋体" w:hAnsi="宋体" w:cs="宋体"/>
          <w:szCs w:val="28"/>
        </w:rPr>
        <w:t>高</w:t>
      </w:r>
      <w:r>
        <w:rPr>
          <w:rFonts w:hint="eastAsia" w:ascii="宋体" w:hAnsi="宋体" w:cs="宋体"/>
          <w:szCs w:val="28"/>
        </w:rPr>
        <w:t>，但近年来</w:t>
      </w:r>
      <w:r>
        <w:rPr>
          <w:rFonts w:ascii="宋体" w:hAnsi="宋体" w:cs="宋体"/>
          <w:szCs w:val="28"/>
        </w:rPr>
        <w:t>水果销售</w:t>
      </w:r>
      <w:r>
        <w:rPr>
          <w:rFonts w:hint="eastAsia" w:ascii="宋体" w:hAnsi="宋体" w:cs="宋体"/>
          <w:szCs w:val="28"/>
        </w:rPr>
        <w:t>市场价格的不稳定</w:t>
      </w:r>
      <w:r>
        <w:rPr>
          <w:rFonts w:ascii="宋体" w:hAnsi="宋体" w:cs="宋体"/>
          <w:szCs w:val="28"/>
        </w:rPr>
        <w:t>、</w:t>
      </w:r>
      <w:r>
        <w:rPr>
          <w:rFonts w:hint="eastAsia" w:ascii="宋体" w:hAnsi="宋体" w:cs="宋体"/>
          <w:szCs w:val="28"/>
        </w:rPr>
        <w:t>产品</w:t>
      </w:r>
      <w:r>
        <w:rPr>
          <w:rFonts w:ascii="宋体" w:hAnsi="宋体" w:cs="宋体"/>
          <w:szCs w:val="28"/>
        </w:rPr>
        <w:t>品质要求高等</w:t>
      </w:r>
      <w:r>
        <w:rPr>
          <w:rFonts w:hint="eastAsia" w:ascii="宋体" w:hAnsi="宋体" w:cs="宋体"/>
          <w:szCs w:val="28"/>
        </w:rPr>
        <w:t>因素</w:t>
      </w:r>
      <w:r>
        <w:rPr>
          <w:rFonts w:ascii="宋体" w:hAnsi="宋体" w:cs="宋体"/>
          <w:szCs w:val="28"/>
        </w:rPr>
        <w:t>，</w:t>
      </w:r>
      <w:r>
        <w:rPr>
          <w:rFonts w:hint="eastAsia" w:ascii="宋体" w:hAnsi="宋体" w:cs="宋体"/>
          <w:szCs w:val="28"/>
        </w:rPr>
        <w:t>影响着</w:t>
      </w:r>
      <w:r>
        <w:rPr>
          <w:rFonts w:ascii="宋体" w:hAnsi="宋体" w:cs="宋体"/>
          <w:szCs w:val="28"/>
        </w:rPr>
        <w:t>兴安县整个葡萄</w:t>
      </w:r>
      <w:r>
        <w:rPr>
          <w:rFonts w:hint="eastAsia" w:ascii="宋体" w:hAnsi="宋体" w:cs="宋体"/>
          <w:szCs w:val="28"/>
        </w:rPr>
        <w:t>产业</w:t>
      </w:r>
      <w:r>
        <w:rPr>
          <w:rFonts w:ascii="宋体" w:hAnsi="宋体" w:cs="宋体"/>
          <w:szCs w:val="28"/>
        </w:rPr>
        <w:t>的发展</w:t>
      </w:r>
      <w:r>
        <w:rPr>
          <w:rFonts w:hint="eastAsia" w:ascii="宋体" w:hAnsi="宋体" w:cs="宋体"/>
          <w:szCs w:val="28"/>
        </w:rPr>
        <w:t>，为了更好的产业链延伸，实现商品更大的效益化，应重点加大葡萄精深</w:t>
      </w:r>
      <w:r>
        <w:rPr>
          <w:rFonts w:ascii="宋体" w:hAnsi="宋体" w:cs="宋体"/>
          <w:szCs w:val="28"/>
        </w:rPr>
        <w:t>加工</w:t>
      </w:r>
      <w:r>
        <w:rPr>
          <w:rFonts w:hint="eastAsia" w:ascii="宋体" w:hAnsi="宋体" w:cs="宋体"/>
          <w:szCs w:val="28"/>
        </w:rPr>
        <w:t>产业的建设，为增加</w:t>
      </w:r>
      <w:r>
        <w:rPr>
          <w:rFonts w:ascii="宋体" w:hAnsi="宋体" w:cs="宋体"/>
          <w:szCs w:val="28"/>
        </w:rPr>
        <w:t>产品附加值</w:t>
      </w:r>
      <w:r>
        <w:rPr>
          <w:rFonts w:hint="eastAsia" w:ascii="宋体" w:hAnsi="宋体" w:cs="宋体"/>
          <w:szCs w:val="28"/>
        </w:rPr>
        <w:t>、</w:t>
      </w:r>
      <w:r>
        <w:rPr>
          <w:rFonts w:ascii="宋体" w:hAnsi="宋体" w:cs="宋体"/>
          <w:szCs w:val="28"/>
        </w:rPr>
        <w:t>保障农民收入提供有效的</w:t>
      </w:r>
      <w:r>
        <w:rPr>
          <w:rFonts w:hint="eastAsia" w:ascii="宋体" w:hAnsi="宋体" w:cs="宋体"/>
          <w:szCs w:val="28"/>
        </w:rPr>
        <w:t>保障</w:t>
      </w:r>
      <w:r>
        <w:rPr>
          <w:rFonts w:ascii="宋体" w:hAnsi="宋体" w:cs="宋体"/>
          <w:szCs w:val="28"/>
        </w:rPr>
        <w:t>。</w:t>
      </w:r>
    </w:p>
    <w:p>
      <w:pPr>
        <w:spacing w:line="360" w:lineRule="auto"/>
        <w:ind w:firstLine="560"/>
        <w:rPr>
          <w:rFonts w:ascii="宋体" w:hAnsi="宋体" w:cs="宋体"/>
          <w:szCs w:val="28"/>
        </w:rPr>
      </w:pPr>
      <w:r>
        <w:rPr>
          <w:rFonts w:hint="eastAsia" w:ascii="宋体" w:hAnsi="宋体" w:cs="宋体"/>
          <w:szCs w:val="28"/>
        </w:rPr>
        <w:t>葡萄精深加工可做成葡萄干、葡萄酒、葡萄汁、葡萄醋、葡萄酱等产品。</w:t>
      </w:r>
    </w:p>
    <w:p>
      <w:pPr>
        <w:spacing w:line="360" w:lineRule="auto"/>
        <w:ind w:firstLine="560"/>
        <w:rPr>
          <w:rFonts w:ascii="宋体" w:hAnsi="宋体" w:cs="宋体"/>
          <w:szCs w:val="28"/>
        </w:rPr>
      </w:pPr>
      <w:r>
        <w:rPr>
          <w:rFonts w:hint="eastAsia" w:ascii="宋体" w:hAnsi="宋体" w:cs="宋体"/>
          <w:szCs w:val="28"/>
        </w:rPr>
        <w:t>据了解，2</w:t>
      </w:r>
      <w:r>
        <w:rPr>
          <w:rFonts w:ascii="宋体" w:hAnsi="宋体" w:cs="宋体"/>
          <w:szCs w:val="28"/>
        </w:rPr>
        <w:t>017</w:t>
      </w:r>
      <w:r>
        <w:rPr>
          <w:rFonts w:hint="eastAsia" w:ascii="宋体" w:hAnsi="宋体" w:cs="宋体"/>
          <w:szCs w:val="28"/>
        </w:rPr>
        <w:t>年兴安县举办葡萄节实行创新模式，首次在葡萄节期间举办百种品牌葡萄酒展示品鉴活动，以葡萄美酒为媒，进一步向外界展示和推广兴安的葡萄，共同探讨兴安葡萄产业未来发展的新模式、新渠道，深入探讨葡萄产业发展多样性，挖掘葡萄经济的巨大潜力，面向更广大的区域开拓新的市场，形成融合农业种植、生产加工、旅游观光的高收入、高增效综合性产业。</w:t>
      </w:r>
    </w:p>
    <w:p>
      <w:pPr>
        <w:pStyle w:val="4"/>
        <w:spacing w:before="156" w:after="156"/>
        <w:ind w:firstLine="452"/>
      </w:pPr>
      <w:r>
        <w:rPr>
          <w:rFonts w:hint="eastAsia"/>
        </w:rPr>
        <w:t>（二）产业布局</w:t>
      </w:r>
    </w:p>
    <w:p>
      <w:pPr>
        <w:spacing w:line="360" w:lineRule="auto"/>
        <w:ind w:firstLine="560"/>
        <w:jc w:val="left"/>
        <w:rPr>
          <w:rFonts w:ascii="宋体" w:hAnsi="宋体" w:cs="宋体"/>
          <w:szCs w:val="28"/>
        </w:rPr>
      </w:pPr>
      <w:r>
        <w:rPr>
          <w:rFonts w:hint="eastAsia" w:ascii="宋体" w:hAnsi="宋体" w:cs="宋体"/>
          <w:szCs w:val="28"/>
        </w:rPr>
        <w:t>综合考虑地理气候、葡萄产业发展现状和未来发展趋势等因素，从有利于实现产业化、标准化、规模化和集约化的原则出发，突出产业集聚和产品特色的特点，将全县葡萄产业规划布局为优势主产区、潜力发展区和辐射发展区。</w:t>
      </w:r>
    </w:p>
    <w:p>
      <w:pPr>
        <w:pStyle w:val="25"/>
        <w:tabs>
          <w:tab w:val="left" w:pos="780"/>
        </w:tabs>
        <w:ind w:firstLine="561" w:firstLineChars="0"/>
        <w:jc w:val="left"/>
        <w:rPr>
          <w:rFonts w:ascii="宋体" w:hAnsi="宋体" w:cs="宋体"/>
          <w:bCs/>
          <w:szCs w:val="28"/>
        </w:rPr>
      </w:pPr>
      <w:r>
        <w:rPr>
          <w:rFonts w:hint="eastAsia" w:ascii="宋体" w:hAnsi="宋体" w:cs="宋体"/>
          <w:b/>
          <w:szCs w:val="28"/>
        </w:rPr>
        <w:t>1.优势主产区。</w:t>
      </w:r>
      <w:r>
        <w:rPr>
          <w:rFonts w:hint="eastAsia" w:ascii="宋体" w:hAnsi="宋体" w:cs="宋体"/>
          <w:bCs/>
          <w:szCs w:val="28"/>
        </w:rPr>
        <w:t>主要分布在溶江镇（不含金石片区）、严关镇</w:t>
      </w:r>
      <w:r>
        <w:rPr>
          <w:rFonts w:ascii="宋体" w:hAnsi="宋体" w:cs="宋体"/>
          <w:bCs/>
          <w:szCs w:val="28"/>
        </w:rPr>
        <w:t>、</w:t>
      </w:r>
      <w:r>
        <w:rPr>
          <w:rFonts w:hint="eastAsia" w:ascii="宋体" w:hAnsi="宋体" w:cs="宋体"/>
          <w:bCs/>
          <w:szCs w:val="28"/>
        </w:rPr>
        <w:t>漠川乡，占全县葡萄种植面积的65%，品种以巨峰系葡萄为主欧亚品种为辅，完成错峰栽培1万多亩，规模和技术优势明显。发展重点：着力提升溶江镇葡萄产业龙头作用，形成以溶江镇为核心的葡萄产业主产区。同时，以</w:t>
      </w:r>
      <w:r>
        <w:rPr>
          <w:rFonts w:hint="eastAsia" w:ascii="宋体" w:hAnsi="宋体" w:cs="宋体"/>
          <w:szCs w:val="28"/>
        </w:rPr>
        <w:t>节水滴灌、促成栽培、错峰栽培、生态防治、</w:t>
      </w:r>
      <w:r>
        <w:rPr>
          <w:rFonts w:hint="eastAsia" w:ascii="宋体" w:hAnsi="宋体" w:cs="宋体"/>
          <w:bCs/>
          <w:szCs w:val="28"/>
        </w:rPr>
        <w:t>优质控产等技术为重点发展绿色山地葡萄，调整葡萄品质结构和熟期结构；发展巨峰、温克、阳光玫瑰、夏黑等优势品种，调整品种结构；提高采后商品化处理能力和冷链物流建设。</w:t>
      </w:r>
    </w:p>
    <w:p>
      <w:pPr>
        <w:pStyle w:val="25"/>
        <w:tabs>
          <w:tab w:val="left" w:pos="780"/>
        </w:tabs>
        <w:ind w:firstLine="561" w:firstLineChars="0"/>
        <w:jc w:val="left"/>
        <w:rPr>
          <w:rFonts w:ascii="宋体" w:hAnsi="宋体" w:cs="宋体"/>
          <w:b/>
          <w:bCs/>
          <w:szCs w:val="28"/>
        </w:rPr>
      </w:pPr>
      <w:r>
        <w:rPr>
          <w:rFonts w:hint="eastAsia" w:ascii="宋体" w:hAnsi="宋体" w:cs="宋体"/>
          <w:b/>
          <w:szCs w:val="28"/>
        </w:rPr>
        <w:t>2.潜力发展区。</w:t>
      </w:r>
      <w:r>
        <w:rPr>
          <w:rFonts w:hint="eastAsia" w:ascii="宋体" w:hAnsi="宋体" w:cs="宋体"/>
          <w:bCs/>
          <w:szCs w:val="28"/>
        </w:rPr>
        <w:t>主要分布在</w:t>
      </w:r>
      <w:r>
        <w:rPr>
          <w:rFonts w:hint="eastAsia" w:ascii="宋体" w:hAnsi="宋体" w:cs="宋体"/>
          <w:szCs w:val="28"/>
        </w:rPr>
        <w:t>兴安镇、湘漓镇，</w:t>
      </w:r>
      <w:r>
        <w:rPr>
          <w:rFonts w:hint="eastAsia" w:ascii="宋体" w:hAnsi="宋体" w:cs="宋体"/>
          <w:bCs/>
          <w:szCs w:val="28"/>
        </w:rPr>
        <w:t>占全县葡萄种植面积的30%，品种以“温克”、“阳光玫瑰”等为主。发展重点：着力提升该区葡萄</w:t>
      </w:r>
      <w:r>
        <w:rPr>
          <w:rFonts w:hint="eastAsia" w:ascii="宋体" w:hAnsi="宋体" w:cs="宋体"/>
          <w:szCs w:val="28"/>
        </w:rPr>
        <w:t>产业发展潜力，突出高品质优势，打造高端精品葡萄产区。</w:t>
      </w:r>
    </w:p>
    <w:p>
      <w:pPr>
        <w:pStyle w:val="25"/>
        <w:tabs>
          <w:tab w:val="left" w:pos="780"/>
        </w:tabs>
        <w:ind w:firstLine="561" w:firstLineChars="0"/>
        <w:rPr>
          <w:rFonts w:ascii="宋体" w:hAnsi="宋体" w:cs="宋体"/>
          <w:szCs w:val="28"/>
        </w:rPr>
      </w:pPr>
      <w:r>
        <w:rPr>
          <w:rFonts w:hint="eastAsia" w:ascii="宋体" w:hAnsi="宋体" w:cs="宋体"/>
          <w:b/>
          <w:bCs/>
          <w:szCs w:val="28"/>
        </w:rPr>
        <w:t>3.辐射发展区。</w:t>
      </w:r>
      <w:r>
        <w:rPr>
          <w:rFonts w:hint="eastAsia" w:ascii="宋体" w:hAnsi="宋体" w:cs="宋体"/>
          <w:szCs w:val="28"/>
        </w:rPr>
        <w:t>以界首镇、高尚镇、白石乡、崔家乡、华江瑶族乡、</w:t>
      </w:r>
      <w:r>
        <w:rPr>
          <w:rFonts w:hint="eastAsia" w:ascii="宋体" w:hAnsi="宋体" w:cs="宋体"/>
          <w:bCs/>
          <w:szCs w:val="28"/>
        </w:rPr>
        <w:t>溶江镇（金石片区）</w:t>
      </w:r>
      <w:r>
        <w:rPr>
          <w:rFonts w:hint="eastAsia" w:ascii="宋体" w:hAnsi="宋体" w:cs="宋体"/>
          <w:szCs w:val="28"/>
        </w:rPr>
        <w:t>为辐射发展区，</w:t>
      </w:r>
      <w:r>
        <w:rPr>
          <w:rFonts w:hint="eastAsia" w:ascii="宋体" w:hAnsi="宋体" w:cs="宋体"/>
          <w:bCs/>
          <w:szCs w:val="28"/>
        </w:rPr>
        <w:t>占全县葡萄种植面积的5%左右</w:t>
      </w:r>
      <w:r>
        <w:rPr>
          <w:rFonts w:hint="eastAsia" w:ascii="宋体" w:hAnsi="宋体" w:cs="宋体"/>
          <w:szCs w:val="28"/>
        </w:rPr>
        <w:t>。发展重点：引进种植葡萄新品种。</w:t>
      </w:r>
    </w:p>
    <w:p>
      <w:pPr>
        <w:pStyle w:val="25"/>
        <w:tabs>
          <w:tab w:val="left" w:pos="780"/>
        </w:tabs>
        <w:ind w:firstLine="0" w:firstLineChars="0"/>
        <w:jc w:val="center"/>
        <w:rPr>
          <w:rFonts w:ascii="宋体" w:hAnsi="宋体" w:cs="宋体"/>
          <w:szCs w:val="28"/>
        </w:rPr>
      </w:pPr>
      <w:r>
        <w:rPr>
          <w:rFonts w:hint="eastAsia" w:ascii="宋体" w:hAnsi="宋体" w:cs="宋体"/>
          <w:szCs w:val="28"/>
        </w:rPr>
        <w:drawing>
          <wp:inline distT="0" distB="0" distL="114300" distR="114300">
            <wp:extent cx="6353175" cy="522668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5" cstate="print">
                      <a:extLst>
                        <a:ext uri="{28A0092B-C50C-407E-A947-70E740481C1C}">
                          <a14:useLocalDpi xmlns:a14="http://schemas.microsoft.com/office/drawing/2010/main" val="0"/>
                        </a:ext>
                      </a:extLst>
                    </a:blip>
                    <a:srcRect l="7679" r="6373"/>
                    <a:stretch>
                      <a:fillRect/>
                    </a:stretch>
                  </pic:blipFill>
                  <pic:spPr>
                    <a:xfrm>
                      <a:off x="0" y="0"/>
                      <a:ext cx="6397287" cy="5263176"/>
                    </a:xfrm>
                    <a:prstGeom prst="rect">
                      <a:avLst/>
                    </a:prstGeom>
                    <a:ln>
                      <a:noFill/>
                    </a:ln>
                  </pic:spPr>
                </pic:pic>
              </a:graphicData>
            </a:graphic>
          </wp:inline>
        </w:drawing>
      </w:r>
    </w:p>
    <w:p>
      <w:pPr>
        <w:spacing w:line="360" w:lineRule="auto"/>
        <w:ind w:firstLine="0" w:firstLineChars="0"/>
        <w:jc w:val="center"/>
        <w:rPr>
          <w:rFonts w:ascii="宋体" w:hAnsi="宋体" w:cs="宋体"/>
          <w:b/>
          <w:szCs w:val="28"/>
        </w:rPr>
      </w:pPr>
      <w:r>
        <w:rPr>
          <w:rFonts w:hint="eastAsia" w:ascii="宋体" w:hAnsi="宋体" w:cs="宋体"/>
          <w:szCs w:val="28"/>
        </w:rPr>
        <w:t>图</w:t>
      </w:r>
      <w:r>
        <w:rPr>
          <w:rFonts w:ascii="宋体" w:hAnsi="宋体" w:cs="宋体"/>
          <w:szCs w:val="28"/>
        </w:rPr>
        <w:t xml:space="preserve">7-1 </w:t>
      </w:r>
      <w:r>
        <w:rPr>
          <w:rFonts w:hint="eastAsia" w:ascii="宋体" w:hAnsi="宋体" w:cs="宋体"/>
          <w:szCs w:val="28"/>
        </w:rPr>
        <w:t>葡萄产业发展与布局图</w:t>
      </w:r>
    </w:p>
    <w:p>
      <w:pPr>
        <w:pStyle w:val="25"/>
        <w:tabs>
          <w:tab w:val="left" w:pos="780"/>
        </w:tabs>
        <w:ind w:firstLine="0" w:firstLineChars="0"/>
        <w:jc w:val="center"/>
        <w:rPr>
          <w:rFonts w:ascii="宋体" w:hAnsi="宋体" w:cs="宋体"/>
          <w:szCs w:val="28"/>
        </w:rPr>
      </w:pPr>
    </w:p>
    <w:p>
      <w:pPr>
        <w:pStyle w:val="25"/>
        <w:tabs>
          <w:tab w:val="left" w:pos="780"/>
        </w:tabs>
        <w:ind w:firstLine="0" w:firstLineChars="0"/>
        <w:jc w:val="center"/>
        <w:rPr>
          <w:rFonts w:ascii="宋体" w:hAnsi="宋体" w:cs="宋体"/>
          <w:szCs w:val="28"/>
        </w:rPr>
      </w:pPr>
    </w:p>
    <w:p>
      <w:pPr>
        <w:pStyle w:val="25"/>
        <w:tabs>
          <w:tab w:val="left" w:pos="780"/>
        </w:tabs>
        <w:ind w:firstLine="0" w:firstLineChars="0"/>
        <w:jc w:val="center"/>
        <w:rPr>
          <w:rFonts w:ascii="宋体" w:hAnsi="宋体" w:cs="宋体"/>
          <w:szCs w:val="28"/>
        </w:rPr>
      </w:pPr>
    </w:p>
    <w:p>
      <w:pPr>
        <w:pStyle w:val="25"/>
        <w:tabs>
          <w:tab w:val="left" w:pos="780"/>
        </w:tabs>
        <w:ind w:firstLine="0" w:firstLineChars="0"/>
        <w:jc w:val="center"/>
        <w:rPr>
          <w:rFonts w:ascii="宋体" w:hAnsi="宋体" w:cs="宋体"/>
          <w:szCs w:val="28"/>
        </w:rPr>
      </w:pPr>
    </w:p>
    <w:p>
      <w:pPr>
        <w:pStyle w:val="25"/>
        <w:tabs>
          <w:tab w:val="left" w:pos="780"/>
        </w:tabs>
        <w:ind w:firstLine="0" w:firstLineChars="0"/>
        <w:jc w:val="center"/>
        <w:rPr>
          <w:rFonts w:ascii="宋体" w:hAnsi="宋体" w:cs="宋体"/>
          <w:szCs w:val="28"/>
        </w:rPr>
      </w:pPr>
    </w:p>
    <w:p>
      <w:pPr>
        <w:pStyle w:val="25"/>
        <w:tabs>
          <w:tab w:val="left" w:pos="780"/>
        </w:tabs>
        <w:ind w:firstLine="0" w:firstLineChars="0"/>
        <w:jc w:val="center"/>
        <w:rPr>
          <w:rFonts w:ascii="宋体" w:hAnsi="宋体" w:cs="宋体"/>
          <w:szCs w:val="28"/>
        </w:rPr>
      </w:pPr>
    </w:p>
    <w:p>
      <w:pPr>
        <w:pStyle w:val="4"/>
        <w:spacing w:before="156" w:after="156"/>
        <w:ind w:firstLine="452"/>
      </w:pPr>
      <w:r>
        <w:rPr>
          <w:rFonts w:hint="eastAsia"/>
        </w:rPr>
        <w:t>（三）重点建设项目</w:t>
      </w:r>
    </w:p>
    <w:p>
      <w:pPr>
        <w:pStyle w:val="25"/>
        <w:tabs>
          <w:tab w:val="left" w:pos="780"/>
        </w:tabs>
        <w:ind w:firstLine="562"/>
        <w:rPr>
          <w:rFonts w:ascii="宋体" w:hAnsi="宋体" w:cs="宋体"/>
          <w:b/>
          <w:bCs/>
          <w:szCs w:val="28"/>
        </w:rPr>
      </w:pPr>
      <w:r>
        <w:rPr>
          <w:rFonts w:hint="eastAsia" w:ascii="宋体" w:hAnsi="宋体" w:cs="宋体"/>
          <w:b/>
          <w:bCs/>
          <w:szCs w:val="28"/>
        </w:rPr>
        <w:t>1.国家现代农业（葡萄）产业园建设项目</w:t>
      </w:r>
    </w:p>
    <w:p>
      <w:pPr>
        <w:pStyle w:val="25"/>
        <w:tabs>
          <w:tab w:val="left" w:pos="780"/>
        </w:tabs>
        <w:ind w:firstLine="562"/>
        <w:rPr>
          <w:rFonts w:ascii="宋体" w:hAnsi="宋体" w:cs="宋体"/>
          <w:szCs w:val="28"/>
        </w:rPr>
      </w:pPr>
      <w:r>
        <w:rPr>
          <w:rFonts w:hint="eastAsia" w:ascii="宋体" w:hAnsi="宋体" w:cs="宋体"/>
          <w:b/>
          <w:bCs/>
          <w:szCs w:val="28"/>
        </w:rPr>
        <w:t>建设地点：</w:t>
      </w:r>
      <w:r>
        <w:rPr>
          <w:rFonts w:hint="eastAsia" w:ascii="宋体" w:hAnsi="宋体" w:cs="宋体"/>
          <w:szCs w:val="28"/>
        </w:rPr>
        <w:t>溶江镇（巨峰）、严关镇（阳光玫瑰），以莲塘村为核心</w:t>
      </w:r>
    </w:p>
    <w:p>
      <w:pPr>
        <w:spacing w:line="360" w:lineRule="auto"/>
        <w:ind w:firstLine="562"/>
        <w:jc w:val="left"/>
        <w:rPr>
          <w:rFonts w:ascii="宋体" w:hAnsi="宋体" w:cs="宋体"/>
          <w:b/>
          <w:bCs/>
          <w:szCs w:val="28"/>
        </w:rPr>
      </w:pPr>
      <w:r>
        <w:rPr>
          <w:rFonts w:hint="eastAsia" w:ascii="宋体" w:hAnsi="宋体" w:cs="宋体"/>
          <w:b/>
          <w:bCs/>
          <w:szCs w:val="28"/>
        </w:rPr>
        <w:t>建设规模：</w:t>
      </w:r>
      <w:r>
        <w:rPr>
          <w:rFonts w:hint="eastAsia" w:ascii="宋体" w:hAnsi="宋体" w:cs="宋体"/>
          <w:szCs w:val="28"/>
        </w:rPr>
        <w:t>8万亩，包括葡萄良种苗木培育基地、葡萄新品种试验示范基地、绿色山地葡萄示范基地、无公害葡萄种植基地、改种基地、鲜食葡萄产业化基地（保鲜库、冷藏车、分级包装车间等）。</w:t>
      </w:r>
    </w:p>
    <w:p>
      <w:pPr>
        <w:pStyle w:val="25"/>
        <w:tabs>
          <w:tab w:val="left" w:pos="780"/>
        </w:tabs>
        <w:ind w:firstLine="562"/>
        <w:rPr>
          <w:rFonts w:ascii="宋体" w:hAnsi="宋体" w:cs="宋体"/>
          <w:bCs/>
          <w:szCs w:val="28"/>
        </w:rPr>
      </w:pPr>
      <w:r>
        <w:rPr>
          <w:rFonts w:hint="eastAsia" w:ascii="宋体" w:hAnsi="宋体" w:cs="宋体"/>
          <w:b/>
          <w:bCs/>
          <w:szCs w:val="28"/>
        </w:rPr>
        <w:t>建设内容：</w:t>
      </w:r>
      <w:r>
        <w:rPr>
          <w:rFonts w:hint="eastAsia" w:ascii="宋体" w:hAnsi="宋体" w:cs="宋体"/>
          <w:szCs w:val="28"/>
        </w:rPr>
        <w:t>充分利用兴安县葡萄产业规模优势和生态优势，巩固提升灵渠葡萄产业（核心）示范区建设成果，将其打造为产业特色鲜明、要素高度集聚、设施装备先进、生产方式绿色、经济效益显著、辐射带动有力的国家级现代农业（葡萄）产业园</w:t>
      </w:r>
      <w:r>
        <w:rPr>
          <w:rFonts w:hint="eastAsia" w:ascii="宋体" w:hAnsi="宋体" w:cs="宋体"/>
          <w:bCs/>
          <w:szCs w:val="28"/>
        </w:rPr>
        <w:t>。</w:t>
      </w:r>
    </w:p>
    <w:p>
      <w:pPr>
        <w:pStyle w:val="25"/>
        <w:tabs>
          <w:tab w:val="left" w:pos="780"/>
        </w:tabs>
        <w:ind w:firstLine="562"/>
        <w:rPr>
          <w:rFonts w:ascii="宋体" w:hAnsi="宋体" w:cs="宋体"/>
          <w:b/>
          <w:szCs w:val="28"/>
        </w:rPr>
      </w:pPr>
      <w:r>
        <w:rPr>
          <w:rFonts w:hint="eastAsia" w:ascii="宋体" w:hAnsi="宋体" w:cs="宋体"/>
          <w:b/>
          <w:szCs w:val="28"/>
        </w:rPr>
        <w:t>项目投资：</w:t>
      </w:r>
      <w:r>
        <w:rPr>
          <w:rFonts w:hint="eastAsia" w:ascii="宋体" w:hAnsi="宋体" w:cs="宋体"/>
          <w:bCs/>
          <w:szCs w:val="28"/>
        </w:rPr>
        <w:t>10000万元。</w:t>
      </w:r>
    </w:p>
    <w:p>
      <w:pPr>
        <w:spacing w:line="360" w:lineRule="auto"/>
        <w:ind w:firstLine="562"/>
        <w:jc w:val="left"/>
        <w:rPr>
          <w:rFonts w:ascii="宋体" w:hAnsi="宋体" w:cs="宋体"/>
          <w:b/>
          <w:bCs/>
          <w:szCs w:val="28"/>
        </w:rPr>
      </w:pPr>
      <w:r>
        <w:rPr>
          <w:rFonts w:hint="eastAsia" w:ascii="宋体" w:hAnsi="宋体" w:cs="宋体"/>
          <w:b/>
          <w:bCs/>
          <w:szCs w:val="28"/>
        </w:rPr>
        <w:t>2.绿色山地葡萄示范基地建设项目</w:t>
      </w:r>
    </w:p>
    <w:p>
      <w:pPr>
        <w:spacing w:line="360" w:lineRule="auto"/>
        <w:ind w:firstLine="562"/>
        <w:jc w:val="left"/>
        <w:rPr>
          <w:rFonts w:ascii="宋体" w:hAnsi="宋体" w:cs="宋体"/>
          <w:b/>
          <w:szCs w:val="28"/>
        </w:rPr>
      </w:pPr>
      <w:r>
        <w:rPr>
          <w:rFonts w:hint="eastAsia" w:ascii="宋体" w:hAnsi="宋体" w:cs="宋体"/>
          <w:b/>
          <w:szCs w:val="28"/>
        </w:rPr>
        <w:t>建设地点：</w:t>
      </w:r>
      <w:r>
        <w:rPr>
          <w:rFonts w:hint="eastAsia" w:ascii="宋体" w:hAnsi="宋体" w:cs="宋体"/>
          <w:bCs/>
          <w:szCs w:val="28"/>
        </w:rPr>
        <w:t>溶江镇、兴安镇</w:t>
      </w:r>
    </w:p>
    <w:p>
      <w:pPr>
        <w:spacing w:line="360" w:lineRule="auto"/>
        <w:ind w:firstLine="562"/>
        <w:jc w:val="left"/>
        <w:rPr>
          <w:rFonts w:ascii="宋体" w:hAnsi="宋体" w:cs="宋体"/>
          <w:b/>
          <w:szCs w:val="28"/>
        </w:rPr>
      </w:pPr>
      <w:r>
        <w:rPr>
          <w:rFonts w:hint="eastAsia" w:ascii="宋体" w:hAnsi="宋体" w:cs="宋体"/>
          <w:b/>
          <w:szCs w:val="28"/>
        </w:rPr>
        <w:t>建设规模</w:t>
      </w:r>
      <w:r>
        <w:rPr>
          <w:rFonts w:hint="eastAsia" w:ascii="宋体" w:hAnsi="宋体" w:cs="宋体"/>
          <w:bCs/>
          <w:szCs w:val="28"/>
        </w:rPr>
        <w:t>：5000亩</w:t>
      </w:r>
    </w:p>
    <w:p>
      <w:pPr>
        <w:spacing w:line="360" w:lineRule="auto"/>
        <w:ind w:firstLine="562"/>
        <w:jc w:val="left"/>
        <w:rPr>
          <w:rFonts w:ascii="宋体" w:hAnsi="宋体" w:cs="宋体"/>
          <w:b/>
          <w:szCs w:val="28"/>
        </w:rPr>
      </w:pPr>
      <w:r>
        <w:rPr>
          <w:rFonts w:hint="eastAsia" w:ascii="宋体" w:hAnsi="宋体" w:cs="宋体"/>
          <w:b/>
          <w:bCs/>
          <w:szCs w:val="28"/>
        </w:rPr>
        <w:t>建设内容：</w:t>
      </w:r>
      <w:r>
        <w:rPr>
          <w:rFonts w:hint="eastAsia" w:ascii="宋体" w:hAnsi="宋体" w:cs="宋体"/>
          <w:bCs/>
          <w:szCs w:val="28"/>
        </w:rPr>
        <w:t>改造建设</w:t>
      </w:r>
      <w:r>
        <w:rPr>
          <w:rFonts w:hint="eastAsia" w:ascii="宋体" w:hAnsi="宋体" w:cs="宋体"/>
          <w:szCs w:val="28"/>
        </w:rPr>
        <w:t>3-5个绿色山地葡萄示范基地，设施配套完善，应用节水滴灌、绿色栽培、限产提质、生态促成等葡萄种植技术，产品通过绿色认证，将优越的自然优势和资源优势转化为产品优势。</w:t>
      </w:r>
    </w:p>
    <w:p>
      <w:pPr>
        <w:pStyle w:val="25"/>
        <w:tabs>
          <w:tab w:val="left" w:pos="780"/>
        </w:tabs>
        <w:ind w:firstLine="562"/>
        <w:jc w:val="left"/>
        <w:rPr>
          <w:rFonts w:ascii="宋体" w:hAnsi="宋体" w:cs="宋体"/>
          <w:b/>
          <w:szCs w:val="28"/>
        </w:rPr>
      </w:pPr>
      <w:r>
        <w:rPr>
          <w:rFonts w:hint="eastAsia" w:ascii="宋体" w:hAnsi="宋体" w:cs="宋体"/>
          <w:b/>
          <w:szCs w:val="28"/>
        </w:rPr>
        <w:t>项目投资：</w:t>
      </w:r>
      <w:r>
        <w:rPr>
          <w:rFonts w:hint="eastAsia" w:ascii="宋体" w:hAnsi="宋体" w:cs="宋体"/>
          <w:szCs w:val="28"/>
        </w:rPr>
        <w:t>500万。</w:t>
      </w:r>
    </w:p>
    <w:p>
      <w:pPr>
        <w:pStyle w:val="25"/>
        <w:tabs>
          <w:tab w:val="left" w:pos="780"/>
        </w:tabs>
        <w:ind w:firstLine="562"/>
        <w:jc w:val="left"/>
        <w:rPr>
          <w:rFonts w:ascii="宋体" w:hAnsi="宋体" w:cs="宋体"/>
          <w:b/>
          <w:szCs w:val="28"/>
        </w:rPr>
      </w:pPr>
      <w:r>
        <w:rPr>
          <w:rFonts w:hint="eastAsia" w:ascii="宋体" w:hAnsi="宋体" w:cs="宋体"/>
          <w:b/>
          <w:szCs w:val="28"/>
        </w:rPr>
        <w:t>3.葡萄新品种新技术综合示范基地建设项目</w:t>
      </w:r>
    </w:p>
    <w:p>
      <w:pPr>
        <w:pStyle w:val="25"/>
        <w:tabs>
          <w:tab w:val="left" w:pos="780"/>
        </w:tabs>
        <w:ind w:firstLine="562"/>
        <w:jc w:val="left"/>
        <w:rPr>
          <w:rFonts w:ascii="宋体" w:hAnsi="宋体" w:cs="宋体"/>
          <w:bCs/>
          <w:szCs w:val="28"/>
        </w:rPr>
      </w:pPr>
      <w:r>
        <w:rPr>
          <w:rFonts w:hint="eastAsia" w:ascii="宋体" w:hAnsi="宋体" w:cs="宋体"/>
          <w:b/>
          <w:szCs w:val="28"/>
        </w:rPr>
        <w:t>建设地点：</w:t>
      </w:r>
      <w:r>
        <w:rPr>
          <w:rFonts w:hint="eastAsia" w:ascii="宋体" w:hAnsi="宋体" w:cs="宋体"/>
          <w:bCs/>
          <w:szCs w:val="28"/>
        </w:rPr>
        <w:t>溶江镇</w:t>
      </w:r>
      <w:r>
        <w:rPr>
          <w:rFonts w:hint="eastAsia" w:ascii="宋体" w:hAnsi="宋体" w:cs="宋体"/>
          <w:szCs w:val="28"/>
        </w:rPr>
        <w:t>（巨峰）</w:t>
      </w:r>
      <w:r>
        <w:rPr>
          <w:rFonts w:hint="eastAsia" w:ascii="宋体" w:hAnsi="宋体" w:cs="宋体"/>
          <w:bCs/>
          <w:szCs w:val="28"/>
        </w:rPr>
        <w:t>、严关镇</w:t>
      </w:r>
      <w:r>
        <w:rPr>
          <w:rFonts w:hint="eastAsia" w:ascii="宋体" w:hAnsi="宋体" w:cs="宋体"/>
          <w:szCs w:val="28"/>
        </w:rPr>
        <w:t>（阳光玫瑰）</w:t>
      </w:r>
      <w:r>
        <w:rPr>
          <w:rFonts w:hint="eastAsia" w:ascii="宋体" w:hAnsi="宋体" w:cs="宋体"/>
          <w:bCs/>
          <w:szCs w:val="28"/>
        </w:rPr>
        <w:t>、漠川乡（温克）、湘漓镇</w:t>
      </w:r>
    </w:p>
    <w:p>
      <w:pPr>
        <w:pStyle w:val="25"/>
        <w:tabs>
          <w:tab w:val="left" w:pos="780"/>
        </w:tabs>
        <w:ind w:firstLine="562"/>
        <w:jc w:val="left"/>
        <w:rPr>
          <w:rFonts w:ascii="宋体" w:hAnsi="宋体" w:cs="宋体"/>
          <w:b/>
          <w:bCs/>
          <w:szCs w:val="28"/>
        </w:rPr>
      </w:pPr>
    </w:p>
    <w:p>
      <w:pPr>
        <w:pStyle w:val="25"/>
        <w:tabs>
          <w:tab w:val="left" w:pos="780"/>
        </w:tabs>
        <w:ind w:firstLine="562"/>
        <w:jc w:val="left"/>
        <w:rPr>
          <w:rFonts w:ascii="宋体" w:hAnsi="宋体" w:cs="宋体"/>
          <w:szCs w:val="28"/>
        </w:rPr>
      </w:pPr>
      <w:r>
        <w:rPr>
          <w:rFonts w:hint="eastAsia" w:ascii="宋体" w:hAnsi="宋体" w:cs="宋体"/>
          <w:b/>
          <w:bCs/>
          <w:szCs w:val="28"/>
        </w:rPr>
        <w:t>建设规模：</w:t>
      </w:r>
      <w:r>
        <w:rPr>
          <w:rFonts w:hint="eastAsia" w:ascii="宋体" w:hAnsi="宋体" w:cs="宋体"/>
          <w:szCs w:val="28"/>
        </w:rPr>
        <w:t>1000亩</w:t>
      </w:r>
    </w:p>
    <w:p>
      <w:pPr>
        <w:pStyle w:val="25"/>
        <w:tabs>
          <w:tab w:val="left" w:pos="780"/>
        </w:tabs>
        <w:ind w:firstLine="562"/>
        <w:jc w:val="left"/>
        <w:rPr>
          <w:rFonts w:ascii="宋体" w:hAnsi="宋体" w:cs="宋体"/>
          <w:szCs w:val="28"/>
        </w:rPr>
      </w:pPr>
      <w:r>
        <w:rPr>
          <w:rFonts w:hint="eastAsia" w:ascii="宋体" w:hAnsi="宋体" w:cs="宋体"/>
          <w:b/>
          <w:bCs/>
          <w:szCs w:val="28"/>
        </w:rPr>
        <w:t>建设内容：</w:t>
      </w:r>
      <w:r>
        <w:rPr>
          <w:rFonts w:hint="eastAsia" w:ascii="宋体" w:hAnsi="宋体" w:cs="宋体"/>
          <w:szCs w:val="28"/>
        </w:rPr>
        <w:t>建设1000亩鲜食葡萄示范基地，引进早熟</w:t>
      </w:r>
      <w:r>
        <w:rPr>
          <w:rFonts w:ascii="宋体" w:hAnsi="宋体" w:cs="宋体"/>
          <w:szCs w:val="28"/>
        </w:rPr>
        <w:t>产品</w:t>
      </w:r>
      <w:r>
        <w:rPr>
          <w:rFonts w:hint="eastAsia" w:ascii="宋体" w:hAnsi="宋体" w:cs="宋体"/>
          <w:szCs w:val="28"/>
        </w:rPr>
        <w:t>，引进优质的鲜食葡萄新品种种苗12万株，温室大棚、滴灌设施、沟渠机耕道道建设等。</w:t>
      </w:r>
    </w:p>
    <w:p>
      <w:pPr>
        <w:pStyle w:val="25"/>
        <w:tabs>
          <w:tab w:val="left" w:pos="780"/>
        </w:tabs>
        <w:ind w:firstLine="562"/>
        <w:jc w:val="left"/>
        <w:rPr>
          <w:rFonts w:ascii="宋体" w:hAnsi="宋体" w:cs="宋体"/>
          <w:szCs w:val="28"/>
        </w:rPr>
      </w:pPr>
      <w:r>
        <w:rPr>
          <w:rFonts w:hint="eastAsia" w:ascii="宋体" w:hAnsi="宋体" w:cs="宋体"/>
          <w:b/>
          <w:bCs/>
          <w:szCs w:val="28"/>
        </w:rPr>
        <w:t>项目投资：</w:t>
      </w:r>
      <w:r>
        <w:rPr>
          <w:rFonts w:hint="eastAsia" w:ascii="宋体" w:hAnsi="宋体" w:cs="宋体"/>
          <w:bCs/>
          <w:szCs w:val="28"/>
        </w:rPr>
        <w:t>200万元。</w:t>
      </w:r>
    </w:p>
    <w:p>
      <w:pPr>
        <w:spacing w:line="360" w:lineRule="auto"/>
        <w:ind w:firstLine="562"/>
        <w:jc w:val="left"/>
        <w:rPr>
          <w:rFonts w:ascii="宋体" w:hAnsi="宋体" w:cs="宋体"/>
          <w:b/>
          <w:bCs/>
          <w:szCs w:val="28"/>
        </w:rPr>
      </w:pPr>
      <w:r>
        <w:rPr>
          <w:rFonts w:hint="eastAsia" w:ascii="宋体" w:hAnsi="宋体" w:cs="宋体"/>
          <w:b/>
          <w:bCs/>
          <w:szCs w:val="28"/>
        </w:rPr>
        <w:t>4.葡萄产地预冷保鲜中心建设项目</w:t>
      </w:r>
    </w:p>
    <w:p>
      <w:pPr>
        <w:spacing w:line="360" w:lineRule="auto"/>
        <w:ind w:firstLine="562"/>
        <w:jc w:val="left"/>
        <w:rPr>
          <w:rFonts w:ascii="宋体" w:hAnsi="宋体" w:cs="宋体"/>
          <w:szCs w:val="28"/>
        </w:rPr>
      </w:pPr>
      <w:r>
        <w:rPr>
          <w:rFonts w:hint="eastAsia" w:ascii="宋体" w:hAnsi="宋体" w:cs="宋体"/>
          <w:b/>
          <w:bCs/>
          <w:szCs w:val="28"/>
        </w:rPr>
        <w:t>建设地点：</w:t>
      </w:r>
      <w:r>
        <w:rPr>
          <w:rFonts w:hint="eastAsia" w:ascii="宋体" w:hAnsi="宋体" w:cs="宋体"/>
          <w:bCs/>
          <w:szCs w:val="28"/>
        </w:rPr>
        <w:t>溶江镇、兴安镇、漠川乡</w:t>
      </w:r>
    </w:p>
    <w:p>
      <w:pPr>
        <w:spacing w:line="360" w:lineRule="auto"/>
        <w:ind w:firstLine="562"/>
        <w:jc w:val="left"/>
        <w:rPr>
          <w:rFonts w:ascii="宋体" w:hAnsi="宋体" w:cs="宋体"/>
          <w:szCs w:val="28"/>
        </w:rPr>
      </w:pPr>
      <w:r>
        <w:rPr>
          <w:rFonts w:hint="eastAsia" w:ascii="宋体" w:hAnsi="宋体" w:cs="宋体"/>
          <w:b/>
          <w:bCs/>
          <w:szCs w:val="28"/>
        </w:rPr>
        <w:t>建设规模和内容：</w:t>
      </w:r>
      <w:r>
        <w:rPr>
          <w:rFonts w:hint="eastAsia" w:ascii="宋体" w:hAnsi="宋体" w:cs="宋体"/>
          <w:szCs w:val="28"/>
        </w:rPr>
        <w:t>建设3个先进、适用、经济的葡萄保鲜库，其中漠川乡保鲜库达到8000吨以上贮藏量；溶江镇、兴安镇每个保鲜库达到10000吨以上贮藏量，避开采后上市高峰，延长市场供应期，提高葡萄附加值。</w:t>
      </w:r>
    </w:p>
    <w:p>
      <w:pPr>
        <w:spacing w:line="360" w:lineRule="auto"/>
        <w:ind w:firstLine="562"/>
        <w:jc w:val="left"/>
        <w:rPr>
          <w:rFonts w:ascii="宋体" w:hAnsi="宋体" w:cs="宋体"/>
          <w:szCs w:val="28"/>
        </w:rPr>
      </w:pPr>
      <w:r>
        <w:rPr>
          <w:rFonts w:hint="eastAsia" w:ascii="宋体" w:hAnsi="宋体" w:cs="宋体"/>
          <w:b/>
          <w:bCs/>
          <w:szCs w:val="28"/>
        </w:rPr>
        <w:t>项目投资：</w:t>
      </w:r>
      <w:r>
        <w:rPr>
          <w:rFonts w:hint="eastAsia" w:ascii="宋体" w:hAnsi="宋体" w:cs="宋体"/>
          <w:szCs w:val="28"/>
        </w:rPr>
        <w:t>8000万元。</w:t>
      </w:r>
    </w:p>
    <w:p>
      <w:pPr>
        <w:spacing w:line="360" w:lineRule="auto"/>
        <w:ind w:firstLine="562"/>
        <w:jc w:val="left"/>
        <w:rPr>
          <w:rFonts w:ascii="宋体" w:hAnsi="宋体" w:cs="宋体"/>
          <w:b/>
          <w:bCs/>
          <w:szCs w:val="28"/>
        </w:rPr>
      </w:pPr>
      <w:r>
        <w:rPr>
          <w:rFonts w:hint="eastAsia" w:ascii="宋体" w:hAnsi="宋体" w:cs="宋体"/>
          <w:b/>
          <w:bCs/>
          <w:szCs w:val="28"/>
        </w:rPr>
        <w:t>5.溶江葡萄庄园建设项目</w:t>
      </w:r>
    </w:p>
    <w:p>
      <w:pPr>
        <w:pStyle w:val="25"/>
        <w:tabs>
          <w:tab w:val="left" w:pos="780"/>
        </w:tabs>
        <w:ind w:firstLine="562"/>
        <w:jc w:val="left"/>
        <w:rPr>
          <w:rFonts w:ascii="宋体" w:hAnsi="宋体" w:cs="宋体"/>
          <w:b/>
          <w:bCs/>
          <w:szCs w:val="28"/>
        </w:rPr>
      </w:pPr>
      <w:r>
        <w:rPr>
          <w:rFonts w:hint="eastAsia" w:ascii="宋体" w:hAnsi="宋体" w:cs="宋体"/>
          <w:b/>
          <w:bCs/>
          <w:szCs w:val="28"/>
        </w:rPr>
        <w:t>建设地点：</w:t>
      </w:r>
      <w:r>
        <w:rPr>
          <w:rFonts w:hint="eastAsia" w:ascii="宋体" w:hAnsi="宋体" w:cs="宋体"/>
          <w:szCs w:val="28"/>
        </w:rPr>
        <w:t>溶江镇五甲村</w:t>
      </w:r>
    </w:p>
    <w:p>
      <w:pPr>
        <w:pStyle w:val="25"/>
        <w:tabs>
          <w:tab w:val="left" w:pos="780"/>
        </w:tabs>
        <w:ind w:firstLine="562"/>
        <w:jc w:val="left"/>
        <w:rPr>
          <w:rFonts w:ascii="宋体" w:hAnsi="宋体" w:cs="宋体"/>
          <w:b/>
          <w:bCs/>
          <w:szCs w:val="28"/>
        </w:rPr>
      </w:pPr>
      <w:r>
        <w:rPr>
          <w:rFonts w:hint="eastAsia" w:ascii="宋体" w:hAnsi="宋体" w:cs="宋体"/>
          <w:b/>
          <w:bCs/>
          <w:szCs w:val="28"/>
        </w:rPr>
        <w:t>建设规模：</w:t>
      </w:r>
      <w:r>
        <w:rPr>
          <w:rFonts w:hint="eastAsia" w:ascii="宋体" w:hAnsi="宋体" w:cs="宋体"/>
          <w:szCs w:val="28"/>
        </w:rPr>
        <w:t>1500亩</w:t>
      </w:r>
    </w:p>
    <w:p>
      <w:pPr>
        <w:pStyle w:val="25"/>
        <w:tabs>
          <w:tab w:val="left" w:pos="780"/>
        </w:tabs>
        <w:ind w:firstLine="562"/>
        <w:jc w:val="left"/>
        <w:rPr>
          <w:rFonts w:ascii="宋体" w:hAnsi="宋体" w:cs="宋体"/>
          <w:szCs w:val="28"/>
        </w:rPr>
      </w:pPr>
      <w:r>
        <w:rPr>
          <w:rFonts w:hint="eastAsia" w:ascii="宋体" w:hAnsi="宋体" w:cs="宋体"/>
          <w:b/>
          <w:bCs/>
          <w:szCs w:val="28"/>
        </w:rPr>
        <w:t>建设内容：</w:t>
      </w:r>
      <w:r>
        <w:rPr>
          <w:rFonts w:hint="eastAsia" w:ascii="宋体" w:hAnsi="宋体" w:cs="宋体"/>
          <w:szCs w:val="28"/>
        </w:rPr>
        <w:t>以绿色山地葡萄示范基地建设为基础，建设配套完善的道路景观配套设施、住宿、景观拱桥、葡萄博物馆、水上阳光餐厅、周边环境景观、生态型公厕等，打造成一个集观光、旅游、休闲为一体的高档次、高品位、风格独特、面向全国的欧式葡萄庄园，开展‘葡萄情缘”营销、葡萄认购等活动，让游客参与葡萄培育的全过程，感受收获的喜悦，增强活动的互动性。</w:t>
      </w:r>
    </w:p>
    <w:p>
      <w:pPr>
        <w:pStyle w:val="25"/>
        <w:tabs>
          <w:tab w:val="left" w:pos="780"/>
        </w:tabs>
        <w:ind w:firstLine="562"/>
        <w:jc w:val="left"/>
        <w:rPr>
          <w:rFonts w:ascii="宋体" w:hAnsi="宋体" w:cs="宋体"/>
          <w:bCs/>
          <w:szCs w:val="28"/>
        </w:rPr>
      </w:pPr>
      <w:r>
        <w:rPr>
          <w:rFonts w:hint="eastAsia" w:ascii="宋体" w:hAnsi="宋体" w:cs="宋体"/>
          <w:b/>
          <w:bCs/>
          <w:szCs w:val="28"/>
        </w:rPr>
        <w:t>项目投资：</w:t>
      </w:r>
      <w:r>
        <w:rPr>
          <w:rFonts w:hint="eastAsia" w:ascii="宋体" w:hAnsi="宋体" w:cs="宋体"/>
          <w:bCs/>
          <w:szCs w:val="28"/>
        </w:rPr>
        <w:t>5000万元。</w:t>
      </w:r>
    </w:p>
    <w:p>
      <w:pPr>
        <w:pStyle w:val="25"/>
        <w:tabs>
          <w:tab w:val="left" w:pos="780"/>
        </w:tabs>
        <w:ind w:firstLine="0" w:firstLineChars="0"/>
        <w:jc w:val="left"/>
        <w:rPr>
          <w:rFonts w:ascii="宋体" w:hAnsi="宋体" w:cs="宋体"/>
          <w:bCs/>
          <w:szCs w:val="28"/>
        </w:rPr>
      </w:pPr>
    </w:p>
    <w:p>
      <w:pPr>
        <w:pStyle w:val="3"/>
        <w:ind w:firstLine="643"/>
      </w:pPr>
      <w:r>
        <w:fldChar w:fldCharType="begin"/>
      </w:r>
      <w:r>
        <w:instrText xml:space="preserve"> HYPERLINK \l "_Toc529132048" </w:instrText>
      </w:r>
      <w:r>
        <w:fldChar w:fldCharType="separate"/>
      </w:r>
      <w:bookmarkStart w:id="110" w:name="_Toc21594857"/>
      <w:r>
        <w:rPr>
          <w:rStyle w:val="20"/>
          <w:rFonts w:hint="eastAsia"/>
          <w:color w:val="auto"/>
          <w:u w:val="none"/>
        </w:rPr>
        <w:t>二、银杏产业</w:t>
      </w:r>
      <w:r>
        <w:rPr>
          <w:rFonts w:hint="eastAsia"/>
        </w:rPr>
        <w:t>发展与布局</w:t>
      </w:r>
      <w:bookmarkEnd w:id="110"/>
      <w:r>
        <w:rPr>
          <w:rFonts w:hint="eastAsia"/>
        </w:rPr>
        <w:fldChar w:fldCharType="end"/>
      </w:r>
    </w:p>
    <w:p>
      <w:pPr>
        <w:pStyle w:val="4"/>
        <w:spacing w:before="156" w:after="156"/>
        <w:ind w:firstLine="452"/>
      </w:pPr>
      <w:r>
        <w:rPr>
          <w:rFonts w:hint="eastAsia"/>
        </w:rPr>
        <w:t>（一）发展方向</w:t>
      </w:r>
    </w:p>
    <w:p>
      <w:pPr>
        <w:spacing w:line="360" w:lineRule="auto"/>
        <w:ind w:firstLine="562"/>
        <w:rPr>
          <w:rFonts w:ascii="宋体" w:hAnsi="宋体" w:cs="宋体"/>
          <w:b/>
          <w:szCs w:val="28"/>
        </w:rPr>
      </w:pPr>
      <w:r>
        <w:rPr>
          <w:rFonts w:hint="eastAsia" w:ascii="宋体" w:hAnsi="宋体" w:cs="宋体"/>
          <w:b/>
          <w:szCs w:val="28"/>
        </w:rPr>
        <w:t>1.优良品种的培育。</w:t>
      </w:r>
      <w:r>
        <w:rPr>
          <w:rFonts w:hint="eastAsia" w:ascii="宋体" w:hAnsi="宋体" w:cs="宋体"/>
          <w:szCs w:val="28"/>
        </w:rPr>
        <w:t>将大小年严重、味苦、粒小的劣质品种改接换头，换成大粒、皮薄、口味香甜、大小年不明显的品种，如：亚甜、魁金、宇香、大佛指等品种。</w:t>
      </w:r>
    </w:p>
    <w:p>
      <w:pPr>
        <w:spacing w:line="360" w:lineRule="auto"/>
        <w:ind w:firstLine="562"/>
        <w:rPr>
          <w:rFonts w:ascii="宋体" w:hAnsi="宋体" w:cs="宋体"/>
          <w:szCs w:val="28"/>
        </w:rPr>
      </w:pPr>
      <w:r>
        <w:rPr>
          <w:rFonts w:hint="eastAsia" w:ascii="宋体" w:hAnsi="宋体" w:cs="宋体"/>
          <w:b/>
          <w:szCs w:val="28"/>
        </w:rPr>
        <w:t>2.食品加工。</w:t>
      </w:r>
      <w:r>
        <w:rPr>
          <w:rFonts w:hint="eastAsia" w:ascii="宋体" w:hAnsi="宋体" w:cs="宋体"/>
          <w:szCs w:val="28"/>
        </w:rPr>
        <w:t>如银杏开心果，白果粥粉，面条、点心添加剂等。</w:t>
      </w:r>
    </w:p>
    <w:p>
      <w:pPr>
        <w:spacing w:line="360" w:lineRule="auto"/>
        <w:ind w:firstLine="562"/>
        <w:rPr>
          <w:rFonts w:ascii="宋体" w:hAnsi="宋体" w:cs="宋体"/>
          <w:szCs w:val="28"/>
        </w:rPr>
      </w:pPr>
      <w:r>
        <w:rPr>
          <w:rFonts w:hint="eastAsia" w:ascii="宋体" w:hAnsi="宋体" w:cs="宋体"/>
          <w:b/>
          <w:szCs w:val="28"/>
        </w:rPr>
        <w:t>3.银杏酒。</w:t>
      </w:r>
      <w:r>
        <w:rPr>
          <w:rFonts w:hint="eastAsia" w:ascii="宋体" w:hAnsi="宋体" w:cs="宋体"/>
          <w:szCs w:val="28"/>
        </w:rPr>
        <w:t>银杏果酒含丰富氨基酸，调节血脂，提高记忆力，清除体内自由基，改善手脚麻木、腰酸背痛等症状。银杏，被称为“植物活化石”，它富含银杏黄酮和内脂，有助软化心脑血管；还含有各种微量元素(如铬、钾)等元素，丰富的氨基酸、维生素等共计160多种有效成分。</w:t>
      </w:r>
    </w:p>
    <w:p>
      <w:pPr>
        <w:spacing w:line="360" w:lineRule="auto"/>
        <w:ind w:firstLine="560"/>
        <w:rPr>
          <w:rFonts w:ascii="宋体" w:hAnsi="宋体" w:cs="宋体"/>
          <w:szCs w:val="28"/>
        </w:rPr>
      </w:pPr>
      <w:r>
        <w:rPr>
          <w:rFonts w:hint="eastAsia" w:ascii="宋体" w:hAnsi="宋体" w:cs="宋体"/>
          <w:szCs w:val="28"/>
        </w:rPr>
        <w:t>目前兴安县有银杏酒龙头企业一家，为桂林市兴安县银杏源酒业有限责任公司公司目前年加工银杏果1000吨/年，产酒100吨，产值达到4000万元/年，从2013年3月至今，已生产银杏酒300吨；2019年企业计划投资2000万元，扩建生产场所，将生产能力提高到3000吨/年，有效提高兴安县银杏深加工能力，带动兴安县银杏产业的发展，使银杏果价格逐年上升。</w:t>
      </w:r>
    </w:p>
    <w:p>
      <w:pPr>
        <w:spacing w:line="360" w:lineRule="auto"/>
        <w:ind w:firstLine="560"/>
        <w:rPr>
          <w:rFonts w:ascii="宋体" w:hAnsi="宋体" w:cs="宋体"/>
          <w:szCs w:val="28"/>
        </w:rPr>
      </w:pPr>
      <w:r>
        <w:rPr>
          <w:rFonts w:hint="eastAsia" w:ascii="宋体" w:hAnsi="宋体" w:cs="宋体"/>
          <w:szCs w:val="28"/>
        </w:rPr>
        <w:t>该公司采用广西大学杨克迪教授提供的分段分离法、选用兴安县本地银杏果酿酒的公司，产品从45°到72°纯原浆酒、洞藏5年后方可进入市场；产品在广西、广东、湖南接受度较高，试销效果良好，产品市场可期。2018年是公司产品正式上市销售第一年，已签有广东、广西、湖南的销售合同600万元，社会效益和经济效益有很大提升。</w:t>
      </w:r>
    </w:p>
    <w:p>
      <w:pPr>
        <w:spacing w:line="360" w:lineRule="auto"/>
        <w:ind w:firstLine="560"/>
        <w:rPr>
          <w:rFonts w:ascii="宋体" w:hAnsi="宋体" w:cs="宋体"/>
          <w:szCs w:val="28"/>
        </w:rPr>
      </w:pPr>
    </w:p>
    <w:p>
      <w:pPr>
        <w:spacing w:line="360" w:lineRule="auto"/>
        <w:ind w:firstLine="0" w:firstLineChars="0"/>
        <w:rPr>
          <w:rFonts w:ascii="宋体" w:hAnsi="宋体" w:cs="宋体"/>
          <w:szCs w:val="28"/>
        </w:rPr>
      </w:pPr>
    </w:p>
    <w:p>
      <w:pPr>
        <w:spacing w:line="360" w:lineRule="auto"/>
        <w:ind w:firstLine="562"/>
        <w:rPr>
          <w:rFonts w:ascii="宋体" w:hAnsi="宋体" w:cs="宋体"/>
          <w:szCs w:val="28"/>
        </w:rPr>
      </w:pPr>
      <w:r>
        <w:rPr>
          <w:rFonts w:hint="eastAsia" w:ascii="宋体" w:hAnsi="宋体" w:cs="宋体"/>
          <w:b/>
          <w:szCs w:val="28"/>
        </w:rPr>
        <w:t>4.银杏叶提取物（GBE）</w:t>
      </w:r>
      <w:r>
        <w:rPr>
          <w:rFonts w:hint="eastAsia" w:ascii="宋体" w:hAnsi="宋体" w:cs="宋体"/>
          <w:szCs w:val="28"/>
        </w:rPr>
        <w:t>。银杏叶提取物（GBE）作为治疗心脑血管疾病药物，对高血压、糖尿病，恶性肿瘤、老年痴呆等疾病的有着良好的治疗效果。不过与国外相比，国内对GBE的加工还处在初步阶段，不过目前国际上只有德国、法国和中国将银杏叶提取物（GBE）作为治疗药品，美国、日本和欧洲一些国家均作为非处方药、保健功能食品、化妆品等进行销售。上药集团、康恩贝集团、海王药业已经相继推出相关产品。GBE的提取主要来源就是银杏果、银杏根皮。</w:t>
      </w:r>
    </w:p>
    <w:p>
      <w:pPr>
        <w:spacing w:line="360" w:lineRule="auto"/>
        <w:ind w:firstLine="560"/>
        <w:rPr>
          <w:rFonts w:ascii="宋体" w:hAnsi="宋体" w:cs="宋体"/>
          <w:szCs w:val="28"/>
        </w:rPr>
      </w:pPr>
      <w:r>
        <w:rPr>
          <w:rFonts w:hint="eastAsia" w:ascii="宋体" w:hAnsi="宋体" w:cs="宋体"/>
          <w:szCs w:val="28"/>
        </w:rPr>
        <w:t>随着我国经济的快速发展，人民生活的稳步提高，作为人口总量已超过全世界人口的四分之一的中国将成为银杏叶提取物（GBE）的潜在巨大市场，中国作为全世界最大的银杏叶生产基地，国内的保健品、制药和化妆品企业要抓住机遇，提高我国一亿60岁以上老人生活质量，提高全民族的健康水平。</w:t>
      </w:r>
    </w:p>
    <w:p>
      <w:pPr>
        <w:spacing w:line="360" w:lineRule="auto"/>
        <w:ind w:firstLine="562"/>
        <w:rPr>
          <w:rFonts w:ascii="宋体" w:hAnsi="宋体" w:cs="宋体"/>
          <w:szCs w:val="28"/>
        </w:rPr>
      </w:pPr>
      <w:r>
        <w:rPr>
          <w:rFonts w:hint="eastAsia" w:ascii="宋体" w:hAnsi="宋体" w:cs="宋体"/>
          <w:b/>
          <w:szCs w:val="28"/>
        </w:rPr>
        <w:t>3.旅游观光。</w:t>
      </w:r>
      <w:r>
        <w:rPr>
          <w:rFonts w:hint="eastAsia" w:ascii="宋体" w:hAnsi="宋体" w:cs="宋体"/>
          <w:szCs w:val="28"/>
        </w:rPr>
        <w:t>兴安县有悠久的银杏种植历史，形成了许多银杏古树和传统村落，由于银杏树具有较好的观赏价值，特别是秋季银杏叶变黄的时候，景色更是美不胜收。随着人们生活水平的不断提高，周末、节假日自驾游不断增加，更多的人朝着郊外去采风、散心，银杏林渐渐的成为人们争相观看的好去处。</w:t>
      </w:r>
    </w:p>
    <w:p>
      <w:pPr>
        <w:spacing w:line="360" w:lineRule="auto"/>
        <w:ind w:firstLine="0" w:firstLineChars="0"/>
        <w:rPr>
          <w:rFonts w:ascii="宋体" w:hAnsi="宋体" w:cs="宋体"/>
          <w:szCs w:val="28"/>
        </w:rPr>
      </w:pPr>
    </w:p>
    <w:p>
      <w:pPr>
        <w:pStyle w:val="4"/>
        <w:spacing w:before="156" w:after="156"/>
        <w:ind w:firstLine="452"/>
      </w:pPr>
      <w:r>
        <w:rPr>
          <w:rFonts w:hint="eastAsia"/>
        </w:rPr>
        <w:t>（二）产业布局</w:t>
      </w:r>
    </w:p>
    <w:p>
      <w:pPr>
        <w:pStyle w:val="25"/>
        <w:tabs>
          <w:tab w:val="left" w:pos="780"/>
        </w:tabs>
        <w:ind w:firstLine="561" w:firstLineChars="0"/>
        <w:rPr>
          <w:rFonts w:ascii="宋体" w:hAnsi="宋体" w:cs="宋体"/>
          <w:szCs w:val="28"/>
        </w:rPr>
      </w:pPr>
      <w:r>
        <w:rPr>
          <w:rFonts w:hint="eastAsia" w:ascii="宋体" w:hAnsi="宋体" w:cs="宋体"/>
          <w:b/>
          <w:szCs w:val="28"/>
        </w:rPr>
        <w:t>1.优势主产区：</w:t>
      </w:r>
      <w:r>
        <w:rPr>
          <w:rFonts w:hint="eastAsia" w:ascii="宋体" w:hAnsi="宋体" w:cs="宋体"/>
          <w:szCs w:val="28"/>
        </w:rPr>
        <w:t>兴安县银杏生产主要分布在高尚镇、崔家乡、白石乡、漠川乡。着重建设银杏科技产业与银杏观光旅游产业。</w:t>
      </w:r>
    </w:p>
    <w:p>
      <w:pPr>
        <w:pStyle w:val="25"/>
        <w:tabs>
          <w:tab w:val="left" w:pos="780"/>
        </w:tabs>
        <w:ind w:firstLine="561" w:firstLineChars="0"/>
        <w:rPr>
          <w:rFonts w:ascii="宋体" w:hAnsi="宋体" w:cs="宋体"/>
          <w:szCs w:val="28"/>
        </w:rPr>
      </w:pPr>
      <w:r>
        <w:rPr>
          <w:rFonts w:hint="eastAsia" w:ascii="宋体" w:hAnsi="宋体" w:cs="宋体"/>
          <w:b/>
          <w:szCs w:val="28"/>
        </w:rPr>
        <w:t>2.辐射发展区：</w:t>
      </w:r>
      <w:r>
        <w:rPr>
          <w:rFonts w:hint="eastAsia" w:ascii="宋体" w:hAnsi="宋体" w:cs="宋体"/>
          <w:szCs w:val="28"/>
        </w:rPr>
        <w:t>其他各乡镇。</w:t>
      </w:r>
    </w:p>
    <w:p>
      <w:pPr>
        <w:pStyle w:val="25"/>
        <w:tabs>
          <w:tab w:val="left" w:pos="780"/>
        </w:tabs>
        <w:ind w:firstLine="0" w:firstLineChars="0"/>
        <w:rPr>
          <w:rFonts w:ascii="宋体" w:hAnsi="宋体" w:cs="宋体"/>
          <w:szCs w:val="28"/>
        </w:rPr>
      </w:pPr>
      <w:r>
        <w:rPr>
          <w:rFonts w:hint="eastAsia" w:ascii="宋体" w:hAnsi="宋体" w:cs="宋体"/>
          <w:szCs w:val="28"/>
        </w:rPr>
        <w:drawing>
          <wp:inline distT="0" distB="0" distL="114300" distR="114300">
            <wp:extent cx="6113145" cy="4732020"/>
            <wp:effectExtent l="0" t="0" r="1905" b="0"/>
            <wp:docPr id="19" name="图片 19" descr="09-银杏产业发展与布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9-银杏产业发展与布局"/>
                    <pic:cNvPicPr>
                      <a:picLocks noChangeAspect="1"/>
                    </pic:cNvPicPr>
                  </pic:nvPicPr>
                  <pic:blipFill>
                    <a:blip r:embed="rId46"/>
                    <a:srcRect l="7565" t="2726" r="6523" b="3227"/>
                    <a:stretch>
                      <a:fillRect/>
                    </a:stretch>
                  </pic:blipFill>
                  <pic:spPr>
                    <a:xfrm>
                      <a:off x="0" y="0"/>
                      <a:ext cx="6149982" cy="4760825"/>
                    </a:xfrm>
                    <a:prstGeom prst="rect">
                      <a:avLst/>
                    </a:prstGeom>
                  </pic:spPr>
                </pic:pic>
              </a:graphicData>
            </a:graphic>
          </wp:inline>
        </w:drawing>
      </w:r>
    </w:p>
    <w:p>
      <w:pPr>
        <w:spacing w:line="360" w:lineRule="auto"/>
        <w:ind w:firstLine="0" w:firstLineChars="0"/>
        <w:jc w:val="center"/>
        <w:rPr>
          <w:rFonts w:ascii="宋体" w:hAnsi="宋体" w:cs="宋体"/>
          <w:b/>
          <w:szCs w:val="28"/>
        </w:rPr>
      </w:pPr>
      <w:r>
        <w:rPr>
          <w:rFonts w:hint="eastAsia" w:ascii="宋体" w:hAnsi="宋体" w:cs="宋体"/>
          <w:szCs w:val="28"/>
        </w:rPr>
        <w:t>图</w:t>
      </w:r>
      <w:r>
        <w:rPr>
          <w:rFonts w:ascii="宋体" w:hAnsi="宋体" w:cs="宋体"/>
          <w:szCs w:val="28"/>
        </w:rPr>
        <w:t xml:space="preserve">7-2 </w:t>
      </w:r>
      <w:r>
        <w:rPr>
          <w:rFonts w:hint="eastAsia" w:ascii="宋体" w:hAnsi="宋体" w:cs="宋体"/>
          <w:szCs w:val="28"/>
        </w:rPr>
        <w:t>银杏</w:t>
      </w:r>
      <w:r>
        <w:rPr>
          <w:rFonts w:ascii="宋体" w:hAnsi="宋体" w:cs="宋体"/>
          <w:szCs w:val="28"/>
        </w:rPr>
        <w:t>产</w:t>
      </w:r>
      <w:r>
        <w:rPr>
          <w:rFonts w:hint="eastAsia" w:ascii="宋体" w:hAnsi="宋体" w:cs="宋体"/>
          <w:szCs w:val="28"/>
        </w:rPr>
        <w:t>业发展与布局图</w:t>
      </w:r>
    </w:p>
    <w:p>
      <w:pPr>
        <w:pStyle w:val="25"/>
        <w:tabs>
          <w:tab w:val="left" w:pos="780"/>
        </w:tabs>
        <w:ind w:firstLine="0" w:firstLineChars="0"/>
        <w:rPr>
          <w:rFonts w:ascii="宋体" w:hAnsi="宋体" w:cs="宋体"/>
          <w:szCs w:val="28"/>
        </w:rPr>
      </w:pPr>
    </w:p>
    <w:p>
      <w:pPr>
        <w:pStyle w:val="4"/>
        <w:spacing w:before="156" w:after="156"/>
        <w:ind w:firstLine="452"/>
      </w:pPr>
      <w:r>
        <w:rPr>
          <w:rFonts w:hint="eastAsia"/>
        </w:rPr>
        <w:t>（三）重点建设项目</w:t>
      </w:r>
    </w:p>
    <w:p>
      <w:pPr>
        <w:spacing w:line="360" w:lineRule="auto"/>
        <w:ind w:firstLine="562"/>
        <w:rPr>
          <w:rFonts w:ascii="宋体" w:hAnsi="宋体" w:cs="宋体"/>
          <w:b/>
          <w:szCs w:val="28"/>
        </w:rPr>
      </w:pPr>
      <w:r>
        <w:rPr>
          <w:rFonts w:hint="eastAsia" w:ascii="宋体" w:hAnsi="宋体" w:cs="宋体"/>
          <w:b/>
          <w:szCs w:val="28"/>
        </w:rPr>
        <w:t>1.市级银杏产业（核心）示范区</w:t>
      </w:r>
    </w:p>
    <w:p>
      <w:pPr>
        <w:spacing w:line="360" w:lineRule="auto"/>
        <w:ind w:firstLine="562"/>
        <w:rPr>
          <w:rFonts w:ascii="宋体" w:hAnsi="宋体" w:cs="宋体"/>
          <w:b/>
          <w:szCs w:val="28"/>
        </w:rPr>
      </w:pPr>
      <w:r>
        <w:rPr>
          <w:rFonts w:hint="eastAsia" w:ascii="宋体" w:hAnsi="宋体" w:cs="宋体"/>
          <w:b/>
          <w:szCs w:val="28"/>
        </w:rPr>
        <w:t>建设地点：</w:t>
      </w:r>
      <w:r>
        <w:rPr>
          <w:rFonts w:hint="eastAsia" w:ascii="宋体" w:hAnsi="宋体" w:cs="宋体"/>
          <w:bCs/>
          <w:szCs w:val="28"/>
        </w:rPr>
        <w:t>高尚镇</w:t>
      </w:r>
    </w:p>
    <w:p>
      <w:pPr>
        <w:spacing w:line="360" w:lineRule="auto"/>
        <w:ind w:firstLine="562"/>
        <w:rPr>
          <w:rFonts w:ascii="宋体" w:hAnsi="宋体" w:cs="宋体"/>
          <w:b/>
          <w:szCs w:val="28"/>
        </w:rPr>
      </w:pPr>
      <w:r>
        <w:rPr>
          <w:rFonts w:hint="eastAsia" w:ascii="宋体" w:hAnsi="宋体" w:cs="宋体"/>
          <w:b/>
          <w:szCs w:val="28"/>
        </w:rPr>
        <w:t>建设规模：</w:t>
      </w:r>
      <w:r>
        <w:rPr>
          <w:rFonts w:hint="eastAsia" w:ascii="宋体" w:hAnsi="宋体" w:cs="宋体"/>
          <w:bCs/>
          <w:szCs w:val="28"/>
        </w:rPr>
        <w:t>2万亩</w:t>
      </w:r>
    </w:p>
    <w:p>
      <w:pPr>
        <w:spacing w:line="360" w:lineRule="auto"/>
        <w:ind w:firstLine="562"/>
        <w:rPr>
          <w:rFonts w:ascii="宋体" w:hAnsi="宋体" w:cs="宋体"/>
          <w:bCs/>
          <w:szCs w:val="28"/>
        </w:rPr>
      </w:pPr>
      <w:r>
        <w:rPr>
          <w:rFonts w:hint="eastAsia" w:ascii="宋体" w:hAnsi="宋体" w:cs="宋体"/>
          <w:b/>
          <w:szCs w:val="28"/>
        </w:rPr>
        <w:t>建设内容：</w:t>
      </w:r>
      <w:r>
        <w:rPr>
          <w:rFonts w:hint="eastAsia" w:ascii="宋体" w:hAnsi="宋体" w:cs="宋体"/>
          <w:bCs/>
          <w:szCs w:val="28"/>
        </w:rPr>
        <w:t>重点发展生态旅游和银杏产品精深加工，通过银杏文化的挖掘、保护、传承和利用，打造一个集一二三产业</w:t>
      </w:r>
      <w:r>
        <w:rPr>
          <w:rFonts w:hint="eastAsia" w:ascii="宋体" w:hAnsi="宋体" w:cs="宋体"/>
          <w:bCs/>
          <w:szCs w:val="28"/>
          <w:lang w:eastAsia="zh-CN"/>
        </w:rPr>
        <w:t>深度融合</w:t>
      </w:r>
      <w:r>
        <w:rPr>
          <w:rFonts w:hint="eastAsia" w:ascii="宋体" w:hAnsi="宋体" w:cs="宋体"/>
          <w:bCs/>
          <w:szCs w:val="28"/>
        </w:rPr>
        <w:t>的市级银杏产业(核心）示范区。</w:t>
      </w:r>
    </w:p>
    <w:p>
      <w:pPr>
        <w:spacing w:line="360" w:lineRule="auto"/>
        <w:ind w:firstLine="562"/>
        <w:rPr>
          <w:rFonts w:ascii="宋体" w:hAnsi="宋体" w:cs="宋体"/>
          <w:bCs/>
          <w:szCs w:val="28"/>
        </w:rPr>
      </w:pPr>
      <w:r>
        <w:rPr>
          <w:rFonts w:hint="eastAsia" w:ascii="宋体" w:hAnsi="宋体" w:cs="宋体"/>
          <w:b/>
          <w:szCs w:val="28"/>
        </w:rPr>
        <w:t>项目投资：</w:t>
      </w:r>
      <w:r>
        <w:rPr>
          <w:rFonts w:hint="eastAsia" w:ascii="宋体" w:hAnsi="宋体" w:cs="宋体"/>
          <w:bCs/>
          <w:szCs w:val="28"/>
        </w:rPr>
        <w:t>5000万元。</w:t>
      </w:r>
    </w:p>
    <w:p>
      <w:pPr>
        <w:spacing w:line="600" w:lineRule="exact"/>
        <w:ind w:firstLine="562"/>
        <w:rPr>
          <w:rFonts w:ascii="宋体" w:hAnsi="宋体" w:cs="宋体"/>
          <w:b/>
          <w:szCs w:val="28"/>
        </w:rPr>
      </w:pPr>
      <w:r>
        <w:rPr>
          <w:rFonts w:hint="eastAsia" w:ascii="宋体" w:hAnsi="宋体" w:cs="宋体"/>
          <w:b/>
          <w:szCs w:val="28"/>
        </w:rPr>
        <w:t>2.桂林兴安国家古银杏公园带建设项目</w:t>
      </w:r>
    </w:p>
    <w:p>
      <w:pPr>
        <w:spacing w:line="600" w:lineRule="exact"/>
        <w:ind w:firstLine="562"/>
        <w:rPr>
          <w:rFonts w:ascii="宋体" w:hAnsi="宋体" w:cs="宋体"/>
          <w:b/>
          <w:szCs w:val="28"/>
        </w:rPr>
      </w:pPr>
      <w:r>
        <w:rPr>
          <w:rFonts w:hint="eastAsia" w:ascii="宋体" w:hAnsi="宋体" w:cs="宋体"/>
          <w:b/>
          <w:szCs w:val="28"/>
        </w:rPr>
        <w:t>建设地点：</w:t>
      </w:r>
      <w:r>
        <w:rPr>
          <w:rFonts w:hint="eastAsia" w:ascii="宋体" w:hAnsi="宋体" w:cs="宋体"/>
          <w:bCs/>
          <w:szCs w:val="28"/>
        </w:rPr>
        <w:t>高尚镇、漠川乡、白石乡、崔家乡</w:t>
      </w:r>
    </w:p>
    <w:p>
      <w:pPr>
        <w:spacing w:line="600" w:lineRule="exact"/>
        <w:ind w:firstLine="562"/>
        <w:rPr>
          <w:rFonts w:ascii="宋体" w:hAnsi="宋体" w:cs="宋体"/>
          <w:b/>
          <w:szCs w:val="28"/>
        </w:rPr>
      </w:pPr>
      <w:r>
        <w:rPr>
          <w:rFonts w:hint="eastAsia" w:ascii="宋体" w:hAnsi="宋体" w:cs="宋体"/>
          <w:b/>
          <w:szCs w:val="28"/>
        </w:rPr>
        <w:t>建设规模：</w:t>
      </w:r>
      <w:r>
        <w:rPr>
          <w:rFonts w:hint="eastAsia" w:ascii="宋体" w:hAnsi="宋体" w:cs="宋体"/>
          <w:bCs/>
          <w:szCs w:val="28"/>
        </w:rPr>
        <w:t>10公里</w:t>
      </w:r>
    </w:p>
    <w:p>
      <w:pPr>
        <w:spacing w:line="600" w:lineRule="exact"/>
        <w:ind w:firstLine="562"/>
        <w:rPr>
          <w:rFonts w:ascii="宋体" w:hAnsi="宋体" w:cs="宋体"/>
          <w:bCs/>
          <w:szCs w:val="28"/>
        </w:rPr>
      </w:pPr>
      <w:r>
        <w:rPr>
          <w:rFonts w:hint="eastAsia" w:ascii="宋体" w:hAnsi="宋体" w:cs="宋体"/>
          <w:b/>
          <w:szCs w:val="28"/>
        </w:rPr>
        <w:t>建设内容：</w:t>
      </w:r>
      <w:r>
        <w:rPr>
          <w:rFonts w:hint="eastAsia" w:ascii="宋体" w:hAnsi="宋体" w:cs="宋体"/>
          <w:bCs/>
          <w:szCs w:val="28"/>
        </w:rPr>
        <w:t>位于兴阳公路两侧,“十里古银杏林”国内外闻名,拥有百年以上古银杏树2370株,以古银杏资源保护为中心。以森林风最资源培育为重点，以彰显“古银杏群落”资源为特色，打造集古树名木保护、森林康养、科普宜教于一体的古银杏文化主题公园。</w:t>
      </w:r>
    </w:p>
    <w:p>
      <w:pPr>
        <w:spacing w:line="600" w:lineRule="exact"/>
        <w:ind w:firstLine="562"/>
        <w:rPr>
          <w:rFonts w:ascii="宋体" w:hAnsi="宋体" w:cs="宋体"/>
          <w:b/>
          <w:szCs w:val="28"/>
        </w:rPr>
      </w:pPr>
      <w:r>
        <w:rPr>
          <w:rFonts w:hint="eastAsia" w:ascii="宋体" w:hAnsi="宋体" w:cs="宋体"/>
          <w:b/>
          <w:szCs w:val="28"/>
        </w:rPr>
        <w:t>项目投资：</w:t>
      </w:r>
      <w:r>
        <w:rPr>
          <w:rFonts w:hint="eastAsia" w:ascii="宋体" w:hAnsi="宋体" w:cs="宋体"/>
          <w:bCs/>
          <w:szCs w:val="28"/>
        </w:rPr>
        <w:t>3000万元。</w:t>
      </w:r>
    </w:p>
    <w:p>
      <w:pPr>
        <w:spacing w:line="600" w:lineRule="exact"/>
        <w:ind w:firstLine="562"/>
        <w:rPr>
          <w:rFonts w:ascii="宋体" w:hAnsi="宋体" w:cs="宋体"/>
          <w:b/>
          <w:szCs w:val="28"/>
        </w:rPr>
      </w:pPr>
      <w:r>
        <w:rPr>
          <w:rFonts w:hint="eastAsia" w:ascii="宋体" w:hAnsi="宋体" w:cs="宋体"/>
          <w:b/>
          <w:szCs w:val="28"/>
        </w:rPr>
        <w:t>3.银杏精深加工产业园</w:t>
      </w:r>
    </w:p>
    <w:p>
      <w:pPr>
        <w:spacing w:line="600" w:lineRule="exact"/>
        <w:ind w:firstLine="562"/>
        <w:rPr>
          <w:rFonts w:ascii="宋体" w:hAnsi="宋体" w:cs="宋体"/>
          <w:b/>
          <w:szCs w:val="28"/>
        </w:rPr>
      </w:pPr>
      <w:r>
        <w:rPr>
          <w:rFonts w:hint="eastAsia" w:ascii="宋体" w:hAnsi="宋体" w:cs="宋体"/>
          <w:b/>
          <w:szCs w:val="28"/>
        </w:rPr>
        <w:t>建设地点：</w:t>
      </w:r>
      <w:r>
        <w:rPr>
          <w:rFonts w:hint="eastAsia" w:ascii="宋体" w:hAnsi="宋体" w:cs="宋体"/>
          <w:bCs/>
          <w:szCs w:val="28"/>
        </w:rPr>
        <w:t>兴安县现代特色农产品加工产业园</w:t>
      </w:r>
    </w:p>
    <w:p>
      <w:pPr>
        <w:spacing w:line="600" w:lineRule="exact"/>
        <w:ind w:firstLine="562"/>
        <w:rPr>
          <w:rFonts w:ascii="宋体" w:hAnsi="宋体" w:cs="宋体"/>
          <w:b/>
          <w:szCs w:val="28"/>
        </w:rPr>
      </w:pPr>
      <w:r>
        <w:rPr>
          <w:rFonts w:hint="eastAsia" w:ascii="宋体" w:hAnsi="宋体" w:cs="宋体"/>
          <w:b/>
          <w:szCs w:val="28"/>
        </w:rPr>
        <w:t>建设规模：</w:t>
      </w:r>
      <w:r>
        <w:rPr>
          <w:rFonts w:hint="eastAsia" w:ascii="宋体" w:hAnsi="宋体" w:cs="宋体"/>
          <w:bCs/>
          <w:szCs w:val="28"/>
        </w:rPr>
        <w:t>200亩</w:t>
      </w:r>
    </w:p>
    <w:p>
      <w:pPr>
        <w:spacing w:line="600" w:lineRule="exact"/>
        <w:ind w:firstLine="562"/>
        <w:rPr>
          <w:rFonts w:ascii="宋体" w:hAnsi="宋体" w:cs="宋体"/>
          <w:b/>
          <w:szCs w:val="28"/>
        </w:rPr>
      </w:pPr>
      <w:r>
        <w:rPr>
          <w:rFonts w:hint="eastAsia" w:ascii="宋体" w:hAnsi="宋体" w:cs="宋体"/>
          <w:b/>
          <w:szCs w:val="28"/>
        </w:rPr>
        <w:t>建设内容：</w:t>
      </w:r>
      <w:r>
        <w:rPr>
          <w:rFonts w:hint="eastAsia" w:ascii="宋体" w:hAnsi="宋体" w:cs="宋体"/>
          <w:bCs/>
          <w:szCs w:val="28"/>
        </w:rPr>
        <w:t>引进研发中心与科院、高校台作。引进大企业及科研力,利用丰富的银杏叶、果等资源。以现代营养科学理论和高新食品加工工艺为基础，研发具有一定营养、保健功能和特殊风味的银杏保健品和食品。提高银杏果、叶深度开发水平，加大银杏产业的招商力度。对发展银杏的企业给予政策优感或奖励。</w:t>
      </w:r>
    </w:p>
    <w:p>
      <w:pPr>
        <w:spacing w:line="600" w:lineRule="exact"/>
        <w:ind w:firstLine="562"/>
        <w:rPr>
          <w:rFonts w:ascii="宋体" w:hAnsi="宋体" w:cs="宋体"/>
          <w:b/>
          <w:szCs w:val="28"/>
        </w:rPr>
      </w:pPr>
      <w:r>
        <w:rPr>
          <w:rFonts w:hint="eastAsia" w:ascii="宋体" w:hAnsi="宋体" w:cs="宋体"/>
          <w:b/>
          <w:szCs w:val="28"/>
        </w:rPr>
        <w:t>项目投资：</w:t>
      </w:r>
      <w:r>
        <w:rPr>
          <w:rFonts w:hint="eastAsia" w:ascii="宋体" w:hAnsi="宋体" w:cs="宋体"/>
          <w:bCs/>
          <w:szCs w:val="28"/>
        </w:rPr>
        <w:t>5000万元。</w:t>
      </w:r>
    </w:p>
    <w:p>
      <w:pPr>
        <w:spacing w:line="600" w:lineRule="exact"/>
        <w:ind w:firstLine="562"/>
        <w:rPr>
          <w:rFonts w:ascii="宋体" w:hAnsi="宋体" w:cs="宋体"/>
          <w:b/>
          <w:szCs w:val="28"/>
        </w:rPr>
      </w:pPr>
      <w:r>
        <w:rPr>
          <w:rFonts w:hint="eastAsia" w:ascii="宋体" w:hAnsi="宋体" w:cs="宋体"/>
          <w:b/>
          <w:szCs w:val="28"/>
        </w:rPr>
        <w:t>4.兴安县银杏酒厂</w:t>
      </w:r>
    </w:p>
    <w:p>
      <w:pPr>
        <w:spacing w:line="600" w:lineRule="exact"/>
        <w:ind w:firstLine="562"/>
        <w:rPr>
          <w:rFonts w:ascii="宋体" w:hAnsi="宋体" w:cs="宋体"/>
          <w:b/>
          <w:szCs w:val="28"/>
        </w:rPr>
      </w:pPr>
      <w:r>
        <w:rPr>
          <w:rFonts w:hint="eastAsia" w:ascii="宋体" w:hAnsi="宋体" w:cs="宋体"/>
          <w:b/>
          <w:szCs w:val="28"/>
        </w:rPr>
        <w:t>建设地点：兴安县现代特色农产品加工产业园</w:t>
      </w:r>
    </w:p>
    <w:p>
      <w:pPr>
        <w:spacing w:line="600" w:lineRule="exact"/>
        <w:ind w:firstLine="562"/>
        <w:rPr>
          <w:rFonts w:ascii="宋体" w:hAnsi="宋体" w:cs="宋体"/>
          <w:b/>
          <w:szCs w:val="28"/>
        </w:rPr>
      </w:pPr>
      <w:r>
        <w:rPr>
          <w:rFonts w:hint="eastAsia" w:ascii="宋体" w:hAnsi="宋体" w:cs="宋体"/>
          <w:b/>
          <w:szCs w:val="28"/>
        </w:rPr>
        <w:t>建设规模：</w:t>
      </w:r>
      <w:r>
        <w:rPr>
          <w:rFonts w:hint="eastAsia" w:ascii="宋体" w:hAnsi="宋体" w:cs="宋体"/>
          <w:bCs/>
          <w:szCs w:val="28"/>
        </w:rPr>
        <w:t>100亩</w:t>
      </w:r>
    </w:p>
    <w:p>
      <w:pPr>
        <w:spacing w:line="600" w:lineRule="exact"/>
        <w:ind w:firstLine="562"/>
        <w:rPr>
          <w:rFonts w:ascii="宋体" w:hAnsi="宋体" w:cs="宋体"/>
          <w:bCs/>
          <w:szCs w:val="28"/>
        </w:rPr>
      </w:pPr>
      <w:r>
        <w:rPr>
          <w:rFonts w:hint="eastAsia" w:ascii="宋体" w:hAnsi="宋体" w:cs="宋体"/>
          <w:b/>
          <w:szCs w:val="28"/>
        </w:rPr>
        <w:t>建设内容：</w:t>
      </w:r>
      <w:r>
        <w:rPr>
          <w:rFonts w:hint="eastAsia" w:ascii="宋体" w:hAnsi="宋体" w:cs="宋体"/>
          <w:bCs/>
          <w:szCs w:val="28"/>
        </w:rPr>
        <w:t>充分利用好桂林兴安县银杏源酒业有限责任公司为目前兴安县银杏酒业带头企业的优势，积极培育银杏酒加工企业，解决企业生产用地难问题。重点建设厂区道路、生产车间、原材料仓库、展示厅、综合办公楼、停车区。</w:t>
      </w:r>
    </w:p>
    <w:p>
      <w:pPr>
        <w:spacing w:line="600" w:lineRule="exact"/>
        <w:ind w:firstLine="562"/>
        <w:rPr>
          <w:rFonts w:ascii="宋体" w:hAnsi="宋体" w:cs="宋体"/>
          <w:b/>
          <w:szCs w:val="28"/>
        </w:rPr>
      </w:pPr>
      <w:r>
        <w:rPr>
          <w:rFonts w:hint="eastAsia" w:ascii="宋体" w:hAnsi="宋体" w:cs="宋体"/>
          <w:b/>
          <w:szCs w:val="28"/>
        </w:rPr>
        <w:t>项目投资：</w:t>
      </w:r>
      <w:r>
        <w:rPr>
          <w:rFonts w:hint="eastAsia" w:ascii="宋体" w:hAnsi="宋体" w:cs="宋体"/>
          <w:bCs/>
          <w:szCs w:val="28"/>
        </w:rPr>
        <w:t>2500万。</w:t>
      </w:r>
    </w:p>
    <w:p>
      <w:pPr>
        <w:pStyle w:val="3"/>
        <w:ind w:firstLine="643"/>
      </w:pPr>
      <w:r>
        <w:fldChar w:fldCharType="begin"/>
      </w:r>
      <w:r>
        <w:instrText xml:space="preserve"> HYPERLINK \l "_Toc529132047" </w:instrText>
      </w:r>
      <w:r>
        <w:fldChar w:fldCharType="separate"/>
      </w:r>
      <w:bookmarkStart w:id="111" w:name="_Toc21594858"/>
      <w:r>
        <w:rPr>
          <w:rStyle w:val="20"/>
          <w:rFonts w:hint="eastAsia"/>
          <w:color w:val="auto"/>
          <w:u w:val="none"/>
        </w:rPr>
        <w:t>三、甜玉米产业</w:t>
      </w:r>
      <w:r>
        <w:rPr>
          <w:rFonts w:hint="eastAsia"/>
        </w:rPr>
        <w:t>发展与布局</w:t>
      </w:r>
      <w:bookmarkEnd w:id="111"/>
      <w:r>
        <w:rPr>
          <w:rFonts w:hint="eastAsia"/>
        </w:rPr>
        <w:fldChar w:fldCharType="end"/>
      </w:r>
    </w:p>
    <w:p>
      <w:pPr>
        <w:pStyle w:val="4"/>
        <w:spacing w:before="156" w:after="156"/>
        <w:ind w:firstLine="452"/>
      </w:pPr>
      <w:r>
        <w:rPr>
          <w:rFonts w:hint="eastAsia"/>
        </w:rPr>
        <w:t>（一）发展方向</w:t>
      </w:r>
    </w:p>
    <w:p>
      <w:pPr>
        <w:spacing w:line="360" w:lineRule="auto"/>
        <w:ind w:firstLine="562"/>
        <w:rPr>
          <w:rFonts w:ascii="宋体" w:hAnsi="宋体" w:cs="宋体"/>
          <w:b/>
          <w:szCs w:val="28"/>
        </w:rPr>
      </w:pPr>
      <w:r>
        <w:rPr>
          <w:rFonts w:hint="eastAsia" w:ascii="宋体" w:hAnsi="宋体" w:cs="宋体"/>
          <w:b/>
          <w:szCs w:val="28"/>
        </w:rPr>
        <w:t>1.提升专业化、标准化。</w:t>
      </w:r>
      <w:r>
        <w:rPr>
          <w:rFonts w:hint="eastAsia" w:ascii="宋体" w:hAnsi="宋体" w:cs="宋体"/>
          <w:szCs w:val="28"/>
        </w:rPr>
        <w:t>以兴安县高尚镇创建市级“甜玉米产业（核心）示范区”为契机，结合自治区、市等甜玉米科研院校的甜玉米培育、标准化种植技术等，以“合作社+农户”、“公司+合作社+农户”、“公司+农户”等引导进行三季、两季甜玉米专业标准化基地建设示范，以“提升专业度，标准化示范”为甜玉米规模种植生产发展思路，以形成兴安县在自治区、市具有示范和带动辐射效应的甜玉米高效、高产、优质生产示范基地。</w:t>
      </w:r>
    </w:p>
    <w:p>
      <w:pPr>
        <w:spacing w:line="360" w:lineRule="auto"/>
        <w:ind w:firstLine="562"/>
        <w:rPr>
          <w:rFonts w:ascii="宋体" w:hAnsi="宋体" w:cs="宋体"/>
          <w:szCs w:val="28"/>
        </w:rPr>
      </w:pPr>
      <w:r>
        <w:rPr>
          <w:rFonts w:hint="eastAsia" w:ascii="宋体" w:hAnsi="宋体" w:cs="宋体"/>
          <w:b/>
          <w:szCs w:val="28"/>
        </w:rPr>
        <w:t>2.完善保鲜仓储链条。</w:t>
      </w:r>
      <w:r>
        <w:rPr>
          <w:rFonts w:hint="eastAsia" w:ascii="宋体" w:hAnsi="宋体" w:cs="宋体"/>
          <w:szCs w:val="28"/>
        </w:rPr>
        <w:t>着重以“甜玉米产业（核心）示范区”为核心，加强产品营销网络的建设，完善甜玉米采后的仓储保鲜设备设施，发挥产业的集聚效应，提高产业的综合效益，提升甜玉米产业影响力。</w:t>
      </w:r>
    </w:p>
    <w:p>
      <w:pPr>
        <w:spacing w:line="360" w:lineRule="auto"/>
        <w:ind w:firstLine="562"/>
        <w:rPr>
          <w:rFonts w:ascii="宋体" w:hAnsi="宋体" w:cs="宋体"/>
          <w:szCs w:val="28"/>
        </w:rPr>
      </w:pPr>
      <w:r>
        <w:rPr>
          <w:rFonts w:hint="eastAsia" w:ascii="宋体" w:hAnsi="宋体" w:cs="宋体"/>
          <w:b/>
          <w:szCs w:val="28"/>
        </w:rPr>
        <w:t>3.发展产业循环联动。</w:t>
      </w:r>
      <w:r>
        <w:rPr>
          <w:rFonts w:hint="eastAsia" w:ascii="宋体" w:hAnsi="宋体" w:cs="宋体"/>
          <w:szCs w:val="28"/>
        </w:rPr>
        <w:t>兴安县探索形成了“甜玉米+肉牛+蘑菇”、“稻米菜花肥”（水稻+甜玉米+蔬菜+油菜花+绿植堆肥）等资源循环、成本节约的农业产业循环联动模式。以推动和促进甜玉米资源综合循环利用为抓手，建设和提升甜玉米秸秆青贮饲料加工产能集聚，突出甜玉米产业资源启动引导，辐射带动畜牧、食用菌产能提升，以甜玉米种植联动水稻、蔬菜等农田资源在秋冬季节的利用，逐步结合甜玉米与农林畜牧产业发展，扩展甜玉米产业辐射带动力。</w:t>
      </w:r>
    </w:p>
    <w:p>
      <w:pPr>
        <w:spacing w:line="360" w:lineRule="auto"/>
        <w:ind w:firstLine="562"/>
        <w:rPr>
          <w:rFonts w:ascii="宋体" w:hAnsi="宋体" w:cs="宋体"/>
          <w:szCs w:val="28"/>
        </w:rPr>
      </w:pPr>
      <w:r>
        <w:rPr>
          <w:rFonts w:hint="eastAsia" w:ascii="宋体" w:hAnsi="宋体" w:cs="宋体"/>
          <w:b/>
          <w:szCs w:val="28"/>
        </w:rPr>
        <w:t>4.强化科技推广服务。</w:t>
      </w:r>
      <w:r>
        <w:rPr>
          <w:rFonts w:hint="eastAsia" w:ascii="宋体" w:hAnsi="宋体" w:cs="宋体"/>
          <w:szCs w:val="28"/>
        </w:rPr>
        <w:t>以兴安县农业部门技术推广为引导，结合自治区、市甜玉米技术和种质资源研究，建立甜玉米产研中心，进行甜玉米种质资源和技术展销推导，与甜玉米种植合作社、加工企业合作，形成甜玉米高效产能技术推广和服务，引进合作企业，引导本地甜玉米种植经营组织，建立甜玉米产学研实验基地，形成“一个产研技术服务中心，多个试验基地”的空间布局。</w:t>
      </w:r>
    </w:p>
    <w:p>
      <w:pPr>
        <w:pStyle w:val="4"/>
        <w:spacing w:before="156" w:after="156"/>
        <w:ind w:firstLine="452"/>
      </w:pPr>
      <w:r>
        <w:rPr>
          <w:rFonts w:hint="eastAsia"/>
        </w:rPr>
        <w:t>（二）产业布局</w:t>
      </w:r>
    </w:p>
    <w:p>
      <w:pPr>
        <w:spacing w:line="360" w:lineRule="auto"/>
        <w:ind w:firstLine="562"/>
        <w:rPr>
          <w:rFonts w:ascii="宋体" w:hAnsi="宋体" w:cs="宋体"/>
          <w:szCs w:val="28"/>
        </w:rPr>
      </w:pPr>
      <w:r>
        <w:rPr>
          <w:rFonts w:hint="eastAsia" w:ascii="宋体" w:hAnsi="宋体" w:cs="宋体"/>
          <w:b/>
          <w:szCs w:val="28"/>
        </w:rPr>
        <w:t>1.优势主产区，</w:t>
      </w:r>
      <w:r>
        <w:rPr>
          <w:rFonts w:hint="eastAsia" w:ascii="宋体" w:hAnsi="宋体" w:cs="宋体"/>
          <w:szCs w:val="28"/>
        </w:rPr>
        <w:t>以高尚镇为甜玉米标准化种植优势主产区，着重建设甜玉米三季免耕高效、高产、优质专业生产示范。</w:t>
      </w:r>
    </w:p>
    <w:p>
      <w:pPr>
        <w:pStyle w:val="31"/>
        <w:spacing w:line="360" w:lineRule="auto"/>
        <w:ind w:firstLine="559" w:firstLineChars="199"/>
        <w:rPr>
          <w:rFonts w:ascii="宋体" w:hAnsi="宋体" w:cs="宋体"/>
          <w:szCs w:val="28"/>
        </w:rPr>
      </w:pPr>
      <w:r>
        <w:rPr>
          <w:rFonts w:hint="eastAsia" w:ascii="宋体" w:hAnsi="宋体" w:cs="宋体"/>
          <w:b/>
          <w:szCs w:val="28"/>
        </w:rPr>
        <w:t>2.潜力发展区，</w:t>
      </w:r>
      <w:r>
        <w:rPr>
          <w:rFonts w:hint="eastAsia" w:ascii="宋体" w:hAnsi="宋体" w:cs="宋体"/>
          <w:szCs w:val="28"/>
        </w:rPr>
        <w:t>以崔家乡、白石乡为甜玉米种植标准化种植潜力发展区，着重建设甜玉米三季或两季免耕高效、高产生产。</w:t>
      </w:r>
    </w:p>
    <w:p>
      <w:pPr>
        <w:spacing w:line="360" w:lineRule="auto"/>
        <w:ind w:firstLine="562"/>
        <w:rPr>
          <w:rFonts w:ascii="宋体" w:hAnsi="宋体" w:cs="宋体"/>
          <w:szCs w:val="28"/>
        </w:rPr>
      </w:pPr>
      <w:r>
        <w:rPr>
          <w:rFonts w:hint="eastAsia" w:ascii="宋体" w:hAnsi="宋体" w:cs="宋体"/>
          <w:b/>
          <w:szCs w:val="28"/>
        </w:rPr>
        <w:t>3.辐射发展区，</w:t>
      </w:r>
      <w:r>
        <w:rPr>
          <w:rFonts w:hint="eastAsia" w:ascii="宋体" w:hAnsi="宋体" w:cs="宋体"/>
          <w:szCs w:val="28"/>
        </w:rPr>
        <w:t>以兴安镇、湘漓镇、界首镇、漠川乡等为甜玉米种植辐射发展区，建设甜玉米与水稻、蔬菜、油菜花等结合种植的秋冬季循环农业生产示范。</w:t>
      </w:r>
    </w:p>
    <w:p>
      <w:pPr>
        <w:spacing w:line="360" w:lineRule="auto"/>
        <w:ind w:firstLine="0" w:firstLineChars="0"/>
        <w:jc w:val="center"/>
        <w:rPr>
          <w:rFonts w:ascii="宋体" w:hAnsi="宋体" w:cs="宋体"/>
          <w:szCs w:val="28"/>
        </w:rPr>
      </w:pPr>
      <w:r>
        <w:rPr>
          <w:rFonts w:hint="eastAsia" w:ascii="宋体" w:hAnsi="宋体" w:cs="宋体"/>
          <w:szCs w:val="28"/>
        </w:rPr>
        <w:drawing>
          <wp:inline distT="0" distB="0" distL="114300" distR="114300">
            <wp:extent cx="5885180" cy="4722495"/>
            <wp:effectExtent l="0" t="0" r="1270" b="1905"/>
            <wp:docPr id="21" name="图片 21" descr="11-甜玉米产业发展与布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1-甜玉米产业发展与布局"/>
                    <pic:cNvPicPr>
                      <a:picLocks noChangeAspect="1"/>
                    </pic:cNvPicPr>
                  </pic:nvPicPr>
                  <pic:blipFill>
                    <a:blip r:embed="rId47"/>
                    <a:srcRect l="8357" t="1872" r="6898" b="1975"/>
                    <a:stretch>
                      <a:fillRect/>
                    </a:stretch>
                  </pic:blipFill>
                  <pic:spPr>
                    <a:xfrm>
                      <a:off x="0" y="0"/>
                      <a:ext cx="5887839" cy="4724665"/>
                    </a:xfrm>
                    <a:prstGeom prst="rect">
                      <a:avLst/>
                    </a:prstGeom>
                  </pic:spPr>
                </pic:pic>
              </a:graphicData>
            </a:graphic>
          </wp:inline>
        </w:drawing>
      </w:r>
    </w:p>
    <w:p>
      <w:pPr>
        <w:spacing w:line="360" w:lineRule="auto"/>
        <w:ind w:firstLine="0" w:firstLineChars="0"/>
        <w:jc w:val="center"/>
        <w:rPr>
          <w:rFonts w:ascii="宋体" w:hAnsi="宋体" w:cs="宋体"/>
          <w:b/>
          <w:szCs w:val="28"/>
        </w:rPr>
      </w:pPr>
      <w:r>
        <w:rPr>
          <w:rFonts w:hint="eastAsia" w:ascii="宋体" w:hAnsi="宋体" w:cs="宋体"/>
          <w:szCs w:val="28"/>
        </w:rPr>
        <w:t>图</w:t>
      </w:r>
      <w:r>
        <w:rPr>
          <w:rFonts w:ascii="宋体" w:hAnsi="宋体" w:cs="宋体"/>
          <w:szCs w:val="28"/>
        </w:rPr>
        <w:t xml:space="preserve">7-3 </w:t>
      </w:r>
      <w:r>
        <w:rPr>
          <w:rFonts w:hint="eastAsia" w:ascii="宋体" w:hAnsi="宋体" w:cs="宋体"/>
          <w:szCs w:val="28"/>
        </w:rPr>
        <w:t>甜玉米</w:t>
      </w:r>
      <w:r>
        <w:rPr>
          <w:rFonts w:ascii="宋体" w:hAnsi="宋体" w:cs="宋体"/>
          <w:szCs w:val="28"/>
        </w:rPr>
        <w:t>产</w:t>
      </w:r>
      <w:r>
        <w:rPr>
          <w:rFonts w:hint="eastAsia" w:ascii="宋体" w:hAnsi="宋体" w:cs="宋体"/>
          <w:szCs w:val="28"/>
        </w:rPr>
        <w:t>业发展与布局图</w:t>
      </w:r>
    </w:p>
    <w:p>
      <w:pPr>
        <w:spacing w:line="360" w:lineRule="auto"/>
        <w:ind w:firstLine="0" w:firstLineChars="0"/>
        <w:jc w:val="center"/>
        <w:rPr>
          <w:rFonts w:ascii="宋体" w:hAnsi="宋体" w:cs="宋体"/>
          <w:szCs w:val="28"/>
        </w:rPr>
      </w:pPr>
    </w:p>
    <w:p>
      <w:pPr>
        <w:pStyle w:val="4"/>
        <w:spacing w:before="156" w:after="156"/>
        <w:ind w:firstLine="452"/>
      </w:pPr>
      <w:r>
        <w:rPr>
          <w:rFonts w:hint="eastAsia"/>
        </w:rPr>
        <w:t>（三）重点建设项目</w:t>
      </w:r>
    </w:p>
    <w:p>
      <w:pPr>
        <w:spacing w:line="360" w:lineRule="auto"/>
        <w:ind w:firstLine="562"/>
        <w:rPr>
          <w:rFonts w:ascii="宋体" w:hAnsi="宋体" w:cs="宋体"/>
          <w:b/>
          <w:szCs w:val="28"/>
        </w:rPr>
      </w:pPr>
      <w:r>
        <w:rPr>
          <w:rFonts w:hint="eastAsia" w:ascii="宋体" w:hAnsi="宋体" w:cs="宋体"/>
          <w:b/>
          <w:szCs w:val="28"/>
        </w:rPr>
        <w:t>1.区级甜玉米产业（核心）示范区</w:t>
      </w:r>
    </w:p>
    <w:p>
      <w:pPr>
        <w:spacing w:line="360" w:lineRule="auto"/>
        <w:ind w:firstLine="562"/>
        <w:rPr>
          <w:rFonts w:ascii="宋体" w:hAnsi="宋体" w:cs="宋体"/>
          <w:szCs w:val="28"/>
        </w:rPr>
      </w:pPr>
      <w:r>
        <w:rPr>
          <w:rFonts w:hint="eastAsia" w:ascii="宋体" w:hAnsi="宋体" w:cs="宋体"/>
          <w:b/>
          <w:szCs w:val="28"/>
        </w:rPr>
        <w:t>建设地点：</w:t>
      </w:r>
      <w:r>
        <w:rPr>
          <w:rFonts w:hint="eastAsia" w:ascii="宋体" w:hAnsi="宋体" w:cs="宋体"/>
          <w:szCs w:val="28"/>
        </w:rPr>
        <w:t>高尚镇东河、乐群、龙田村（核心）</w:t>
      </w:r>
    </w:p>
    <w:p>
      <w:pPr>
        <w:spacing w:line="360" w:lineRule="auto"/>
        <w:ind w:firstLine="562"/>
        <w:rPr>
          <w:rFonts w:ascii="宋体" w:hAnsi="宋体" w:cs="宋体"/>
          <w:b/>
          <w:szCs w:val="28"/>
        </w:rPr>
      </w:pPr>
      <w:r>
        <w:rPr>
          <w:rFonts w:hint="eastAsia" w:ascii="宋体" w:hAnsi="宋体" w:cs="宋体"/>
          <w:b/>
          <w:szCs w:val="28"/>
        </w:rPr>
        <w:t>建设规模：</w:t>
      </w:r>
      <w:r>
        <w:rPr>
          <w:rFonts w:hint="eastAsia" w:ascii="宋体" w:hAnsi="宋体" w:cs="宋体"/>
          <w:bCs/>
          <w:szCs w:val="28"/>
        </w:rPr>
        <w:t>建设3000亩甜玉</w:t>
      </w:r>
      <w:r>
        <w:rPr>
          <w:rFonts w:hint="eastAsia" w:ascii="宋体" w:hAnsi="宋体" w:cs="宋体"/>
          <w:szCs w:val="28"/>
        </w:rPr>
        <w:t>米免耕高产技术示范基地，建设50亩甜玉米种质资源圃、1000亩甜玉米新品种新技术试验基地及鲜食玉米销售电商平台1个等。</w:t>
      </w:r>
    </w:p>
    <w:p>
      <w:pPr>
        <w:spacing w:line="360" w:lineRule="auto"/>
        <w:ind w:firstLine="562"/>
        <w:rPr>
          <w:rFonts w:ascii="宋体" w:hAnsi="宋体" w:cs="宋体"/>
          <w:szCs w:val="28"/>
        </w:rPr>
      </w:pPr>
      <w:r>
        <w:rPr>
          <w:rFonts w:hint="eastAsia" w:ascii="宋体" w:hAnsi="宋体" w:cs="宋体"/>
          <w:b/>
          <w:szCs w:val="28"/>
        </w:rPr>
        <w:t>建设内容：</w:t>
      </w:r>
      <w:r>
        <w:rPr>
          <w:rFonts w:hint="eastAsia" w:ascii="宋体" w:hAnsi="宋体" w:cs="宋体"/>
          <w:szCs w:val="28"/>
        </w:rPr>
        <w:t>发展甜玉米专业化、标准化、高效、高产种植，依托核心示范区，成立甜玉米专业技术研究和推广服务中心，与各类科研院所进行合作，探索甜玉米产业技术研究和生产实践的结合，建设“中心+企业（合作社）+科研单位+试验基地”的联结模式，组建以甜玉米专项产品检测，积极引进和引导科研院校、各级甜玉米产业技术推广机构在兴安县设立甜玉米种质资源基地，甜玉米新品种新技术试验和示范基地，争取国家、自治区、市级科研和农业资金扶持共建，建立专业市场。建设鲜食玉米电子网络营销，扩大客源和规范产品市场、产品质量和管理。</w:t>
      </w:r>
    </w:p>
    <w:p>
      <w:pPr>
        <w:spacing w:line="360" w:lineRule="auto"/>
        <w:ind w:firstLine="562"/>
        <w:rPr>
          <w:rFonts w:ascii="宋体" w:hAnsi="宋体" w:cs="宋体"/>
          <w:szCs w:val="28"/>
        </w:rPr>
      </w:pPr>
      <w:r>
        <w:rPr>
          <w:rFonts w:hint="eastAsia" w:ascii="宋体" w:hAnsi="宋体" w:cs="宋体"/>
          <w:b/>
          <w:szCs w:val="28"/>
        </w:rPr>
        <w:t>项目投资：</w:t>
      </w:r>
      <w:r>
        <w:rPr>
          <w:rFonts w:hint="eastAsia" w:ascii="宋体" w:hAnsi="宋体" w:cs="宋体"/>
          <w:szCs w:val="28"/>
        </w:rPr>
        <w:t>8000万元。</w:t>
      </w:r>
    </w:p>
    <w:p>
      <w:pPr>
        <w:spacing w:line="360" w:lineRule="auto"/>
        <w:ind w:firstLine="562"/>
        <w:rPr>
          <w:rFonts w:ascii="宋体" w:hAnsi="宋体" w:cs="宋体"/>
          <w:b/>
          <w:szCs w:val="28"/>
        </w:rPr>
      </w:pPr>
      <w:r>
        <w:rPr>
          <w:rFonts w:hint="eastAsia" w:ascii="宋体" w:hAnsi="宋体" w:cs="宋体"/>
          <w:b/>
          <w:szCs w:val="28"/>
        </w:rPr>
        <w:t>2.甜玉米标准化种植示范基地</w:t>
      </w:r>
    </w:p>
    <w:p>
      <w:pPr>
        <w:spacing w:line="360" w:lineRule="auto"/>
        <w:ind w:firstLine="562"/>
        <w:rPr>
          <w:rFonts w:ascii="宋体" w:hAnsi="宋体" w:cs="宋体"/>
          <w:szCs w:val="28"/>
        </w:rPr>
      </w:pPr>
      <w:r>
        <w:rPr>
          <w:rFonts w:hint="eastAsia" w:ascii="宋体" w:hAnsi="宋体" w:cs="宋体"/>
          <w:b/>
          <w:szCs w:val="28"/>
        </w:rPr>
        <w:t>建设地点：</w:t>
      </w:r>
      <w:r>
        <w:rPr>
          <w:rFonts w:hint="eastAsia" w:ascii="宋体" w:hAnsi="宋体" w:cs="宋体"/>
          <w:szCs w:val="28"/>
        </w:rPr>
        <w:t>高尚镇（核心区），崔家乡、白石乡（辐射区），兴安镇、湘漓镇、界首镇、漠川乡（拓展区）</w:t>
      </w:r>
    </w:p>
    <w:p>
      <w:pPr>
        <w:spacing w:line="360" w:lineRule="auto"/>
        <w:ind w:firstLine="562"/>
        <w:rPr>
          <w:rFonts w:ascii="宋体" w:hAnsi="宋体" w:cs="宋体"/>
          <w:b/>
          <w:szCs w:val="28"/>
        </w:rPr>
      </w:pPr>
      <w:r>
        <w:rPr>
          <w:rFonts w:hint="eastAsia" w:ascii="宋体" w:hAnsi="宋体" w:cs="宋体"/>
          <w:b/>
          <w:szCs w:val="28"/>
        </w:rPr>
        <w:t>建设规模：</w:t>
      </w:r>
      <w:r>
        <w:rPr>
          <w:rFonts w:hint="eastAsia" w:ascii="宋体" w:hAnsi="宋体" w:cs="宋体"/>
          <w:szCs w:val="28"/>
        </w:rPr>
        <w:t>核心示范规模3000亩，辐射示范5000亩，拓展示范1万亩</w:t>
      </w:r>
    </w:p>
    <w:p>
      <w:pPr>
        <w:spacing w:line="360" w:lineRule="auto"/>
        <w:ind w:firstLine="562"/>
        <w:rPr>
          <w:rFonts w:ascii="宋体" w:hAnsi="宋体" w:cs="宋体"/>
          <w:b/>
          <w:szCs w:val="28"/>
        </w:rPr>
      </w:pPr>
      <w:r>
        <w:rPr>
          <w:rFonts w:hint="eastAsia" w:ascii="宋体" w:hAnsi="宋体" w:cs="宋体"/>
          <w:b/>
          <w:szCs w:val="28"/>
        </w:rPr>
        <w:t>建设内容：</w:t>
      </w:r>
      <w:r>
        <w:rPr>
          <w:rFonts w:hint="eastAsia" w:ascii="宋体" w:hAnsi="宋体" w:cs="宋体"/>
          <w:szCs w:val="28"/>
        </w:rPr>
        <w:t>注重优良品种的推广力度，发展三季、两季甜玉米专业化、标准化、高效、高产种植，提升产品品质，为开发甜玉米精深加工系列产品奠定基础。着重甜玉米标准化示范基地建设。</w:t>
      </w:r>
    </w:p>
    <w:p>
      <w:pPr>
        <w:spacing w:line="360" w:lineRule="auto"/>
        <w:ind w:firstLine="562"/>
        <w:rPr>
          <w:rFonts w:ascii="宋体" w:hAnsi="宋体" w:cs="宋体"/>
          <w:szCs w:val="28"/>
        </w:rPr>
      </w:pPr>
      <w:r>
        <w:rPr>
          <w:rFonts w:hint="eastAsia" w:ascii="宋体" w:hAnsi="宋体" w:cs="宋体"/>
          <w:b/>
          <w:szCs w:val="28"/>
        </w:rPr>
        <w:t>项目投资：</w:t>
      </w:r>
      <w:r>
        <w:rPr>
          <w:rFonts w:hint="eastAsia" w:ascii="宋体" w:hAnsi="宋体" w:cs="宋体"/>
          <w:szCs w:val="28"/>
        </w:rPr>
        <w:t>1000万元。</w:t>
      </w:r>
    </w:p>
    <w:p>
      <w:pPr>
        <w:spacing w:line="360" w:lineRule="auto"/>
        <w:ind w:firstLine="562"/>
        <w:rPr>
          <w:rFonts w:ascii="宋体" w:hAnsi="宋体" w:cs="宋体"/>
          <w:b/>
          <w:szCs w:val="28"/>
        </w:rPr>
      </w:pPr>
      <w:r>
        <w:rPr>
          <w:rFonts w:hint="eastAsia" w:ascii="宋体" w:hAnsi="宋体" w:cs="宋体"/>
          <w:b/>
          <w:szCs w:val="28"/>
        </w:rPr>
        <w:t>3.甜玉米产业联动（资源综合循环利用示范）基地</w:t>
      </w:r>
    </w:p>
    <w:p>
      <w:pPr>
        <w:spacing w:line="360" w:lineRule="auto"/>
        <w:ind w:firstLine="562"/>
        <w:rPr>
          <w:rFonts w:ascii="宋体" w:hAnsi="宋体" w:cs="宋体"/>
          <w:szCs w:val="28"/>
        </w:rPr>
      </w:pPr>
      <w:r>
        <w:rPr>
          <w:rFonts w:hint="eastAsia" w:ascii="宋体" w:hAnsi="宋体" w:cs="宋体"/>
          <w:b/>
          <w:szCs w:val="28"/>
        </w:rPr>
        <w:t>建设地点：</w:t>
      </w:r>
      <w:r>
        <w:rPr>
          <w:rFonts w:hint="eastAsia" w:ascii="宋体" w:hAnsi="宋体" w:cs="宋体"/>
          <w:szCs w:val="28"/>
        </w:rPr>
        <w:t>高尚镇、崔家乡、白石乡、兴安镇</w:t>
      </w:r>
    </w:p>
    <w:p>
      <w:pPr>
        <w:spacing w:line="360" w:lineRule="auto"/>
        <w:ind w:firstLine="562"/>
        <w:rPr>
          <w:rFonts w:ascii="宋体" w:hAnsi="宋体" w:cs="宋体"/>
          <w:b/>
          <w:szCs w:val="28"/>
        </w:rPr>
      </w:pPr>
      <w:r>
        <w:rPr>
          <w:rFonts w:hint="eastAsia" w:ascii="宋体" w:hAnsi="宋体" w:cs="宋体"/>
          <w:b/>
          <w:szCs w:val="28"/>
        </w:rPr>
        <w:t>建设规模：</w:t>
      </w:r>
      <w:r>
        <w:rPr>
          <w:rFonts w:hint="eastAsia" w:ascii="宋体" w:hAnsi="宋体" w:cs="宋体"/>
          <w:szCs w:val="28"/>
        </w:rPr>
        <w:t>发展5-10个甜玉米秸秆饲料厂，千头牛场1-2个。</w:t>
      </w:r>
    </w:p>
    <w:p>
      <w:pPr>
        <w:spacing w:line="360" w:lineRule="auto"/>
        <w:ind w:firstLine="562"/>
        <w:rPr>
          <w:rFonts w:ascii="宋体" w:hAnsi="宋体" w:cs="宋体"/>
          <w:szCs w:val="28"/>
        </w:rPr>
      </w:pPr>
      <w:r>
        <w:rPr>
          <w:rFonts w:hint="eastAsia" w:ascii="宋体" w:hAnsi="宋体" w:cs="宋体"/>
          <w:b/>
          <w:szCs w:val="28"/>
        </w:rPr>
        <w:t>建设内容：</w:t>
      </w:r>
      <w:r>
        <w:rPr>
          <w:rFonts w:hint="eastAsia" w:ascii="宋体" w:hAnsi="宋体" w:cs="宋体"/>
          <w:szCs w:val="28"/>
        </w:rPr>
        <w:t>依托现有甜玉米产品产业循环联动的资源综合利用企业基础，发展5-10个甜玉米秸秆资源等综合利用。建立专业市场，建设甜玉米信息平台和交易平台，发展甜玉米电子网络营销，扩大客源和规范产品市场、产品质量和管理。大力支持和扶持甜玉米种植合作社等进行甜玉米保鲜仓储设施设备建设，逐步完善甜玉米采后保鲜和运输销售链条，推进鲜食甜玉米产品的保鲜包装和销售推介。</w:t>
      </w:r>
    </w:p>
    <w:p>
      <w:pPr>
        <w:spacing w:line="360" w:lineRule="auto"/>
        <w:ind w:firstLine="560"/>
        <w:rPr>
          <w:rFonts w:ascii="宋体" w:hAnsi="宋体" w:cs="宋体"/>
          <w:szCs w:val="28"/>
        </w:rPr>
      </w:pPr>
      <w:r>
        <w:rPr>
          <w:rFonts w:hint="eastAsia" w:ascii="宋体" w:hAnsi="宋体" w:cs="宋体"/>
          <w:szCs w:val="28"/>
        </w:rPr>
        <w:t>项目投资：2000万元。</w:t>
      </w:r>
    </w:p>
    <w:p>
      <w:pPr>
        <w:spacing w:line="360" w:lineRule="auto"/>
        <w:ind w:firstLine="560"/>
        <w:rPr>
          <w:rFonts w:ascii="宋体" w:hAnsi="宋体" w:cs="宋体"/>
          <w:szCs w:val="28"/>
        </w:rPr>
      </w:pPr>
    </w:p>
    <w:p>
      <w:pPr>
        <w:pStyle w:val="3"/>
        <w:ind w:firstLine="643"/>
        <w:rPr>
          <w:rStyle w:val="20"/>
          <w:rFonts w:ascii="宋体" w:hAnsi="宋体" w:cs="宋体"/>
          <w:color w:val="auto"/>
          <w:u w:val="none"/>
        </w:rPr>
      </w:pPr>
      <w:r>
        <w:fldChar w:fldCharType="begin"/>
      </w:r>
      <w:r>
        <w:instrText xml:space="preserve"> HYPERLINK \l "_Toc529132046" </w:instrText>
      </w:r>
      <w:r>
        <w:fldChar w:fldCharType="separate"/>
      </w:r>
      <w:bookmarkStart w:id="112" w:name="_Toc21594859"/>
      <w:r>
        <w:rPr>
          <w:rStyle w:val="20"/>
          <w:rFonts w:hint="eastAsia" w:ascii="宋体" w:hAnsi="宋体" w:cs="宋体"/>
          <w:color w:val="auto"/>
          <w:u w:val="none"/>
        </w:rPr>
        <w:t>四、柑桔产业发展与布局</w:t>
      </w:r>
      <w:bookmarkEnd w:id="112"/>
      <w:r>
        <w:rPr>
          <w:rStyle w:val="20"/>
          <w:rFonts w:hint="eastAsia" w:ascii="宋体" w:hAnsi="宋体" w:cs="宋体"/>
          <w:color w:val="auto"/>
          <w:u w:val="none"/>
        </w:rPr>
        <w:fldChar w:fldCharType="end"/>
      </w:r>
    </w:p>
    <w:p>
      <w:pPr>
        <w:pStyle w:val="4"/>
        <w:spacing w:before="156" w:after="156"/>
        <w:ind w:firstLine="452"/>
      </w:pPr>
      <w:r>
        <w:rPr>
          <w:rFonts w:hint="eastAsia"/>
        </w:rPr>
        <w:t>（一）发展方向</w:t>
      </w:r>
    </w:p>
    <w:p>
      <w:pPr>
        <w:spacing w:line="560" w:lineRule="exact"/>
        <w:ind w:firstLine="562"/>
        <w:rPr>
          <w:rFonts w:ascii="宋体" w:hAnsi="宋体" w:cs="宋体"/>
          <w:szCs w:val="28"/>
        </w:rPr>
      </w:pPr>
      <w:r>
        <w:rPr>
          <w:rFonts w:hint="eastAsia" w:ascii="宋体" w:hAnsi="宋体" w:cs="宋体"/>
          <w:b/>
          <w:szCs w:val="28"/>
        </w:rPr>
        <w:t>1.调结构。</w:t>
      </w:r>
      <w:r>
        <w:rPr>
          <w:rFonts w:hint="eastAsia" w:ascii="宋体" w:hAnsi="宋体" w:cs="宋体"/>
          <w:szCs w:val="28"/>
        </w:rPr>
        <w:t>在产业结构方面，按照鲜食、加工并举的发展思路，重点开发鲜食柑桔和柑桔加工品两大类；在品种结构方面，以高档脐橙等为主，引进柑桔优质新品种；优化调整熟期结构，使早、中、晚熟品种结构以及鲜食与加工品种结构更趋合理；继续扩大山地缓坡柑桔种植规模。</w:t>
      </w:r>
    </w:p>
    <w:p>
      <w:pPr>
        <w:spacing w:line="560" w:lineRule="exact"/>
        <w:ind w:firstLine="562"/>
        <w:rPr>
          <w:rFonts w:ascii="宋体" w:hAnsi="宋体" w:cs="宋体"/>
          <w:szCs w:val="28"/>
        </w:rPr>
      </w:pPr>
      <w:r>
        <w:rPr>
          <w:rFonts w:hint="eastAsia" w:ascii="宋体" w:hAnsi="宋体" w:cs="宋体"/>
          <w:b/>
          <w:szCs w:val="28"/>
        </w:rPr>
        <w:t>2.提品质。</w:t>
      </w:r>
      <w:r>
        <w:rPr>
          <w:rFonts w:hint="eastAsia" w:ascii="宋体" w:hAnsi="宋体" w:cs="宋体"/>
          <w:szCs w:val="28"/>
        </w:rPr>
        <w:t>全力推进标准化生产，积极开展“三品一标”认证，使兴安县柑桔全部实现无公害标准化生产，提高果品的品质和档次。加快柑桔产业信息服务体系建设，完善网上交易平台，鼓励开展网上交易。整合名牌精品，打造柑桔知名品牌，搞好品牌产品的策划和宣传，以品牌扩大生产规模，以品牌开拓市场。</w:t>
      </w:r>
    </w:p>
    <w:p>
      <w:pPr>
        <w:spacing w:line="560" w:lineRule="exact"/>
        <w:ind w:firstLine="562"/>
        <w:rPr>
          <w:rFonts w:ascii="宋体" w:hAnsi="宋体" w:cs="宋体"/>
          <w:szCs w:val="28"/>
        </w:rPr>
      </w:pPr>
      <w:r>
        <w:rPr>
          <w:rFonts w:hint="eastAsia" w:ascii="宋体" w:hAnsi="宋体" w:cs="宋体"/>
          <w:b/>
          <w:szCs w:val="28"/>
        </w:rPr>
        <w:t>3.育主体。</w:t>
      </w:r>
      <w:r>
        <w:rPr>
          <w:rFonts w:hint="eastAsia" w:ascii="宋体" w:hAnsi="宋体" w:cs="宋体"/>
          <w:szCs w:val="28"/>
        </w:rPr>
        <w:t>培育一批有影响力的柑桔专业合作社，提高果农的组织化程度；鼓励通过土地流转、资源入股等方式进行适度规模化种植和经营。培育一批起点高、规模大、带动力强的果业龙头企业，推进柑桔生产、加工、贮藏、运输和销售一体化建设；鼓励果业龙头企业与柑桔专业合作社、生产基地、果农建立长期稳定的协作关系。</w:t>
      </w:r>
    </w:p>
    <w:p>
      <w:pPr>
        <w:spacing w:line="560" w:lineRule="exact"/>
        <w:ind w:firstLine="562"/>
        <w:rPr>
          <w:rFonts w:ascii="宋体" w:hAnsi="宋体" w:cs="宋体"/>
          <w:szCs w:val="28"/>
        </w:rPr>
      </w:pPr>
      <w:r>
        <w:rPr>
          <w:rFonts w:hint="eastAsia" w:ascii="宋体" w:hAnsi="宋体" w:cs="宋体"/>
          <w:b/>
          <w:szCs w:val="28"/>
        </w:rPr>
        <w:t>4.强加工。</w:t>
      </w:r>
      <w:r>
        <w:rPr>
          <w:rFonts w:hint="eastAsia" w:ascii="宋体" w:hAnsi="宋体" w:cs="宋体"/>
          <w:szCs w:val="28"/>
        </w:rPr>
        <w:t>加强鲜果商品化处理和高效安全贮藏能力建设，鼓励企业进行技改和资源整合，提升加工技术水平，扩大加工规模，提高带动能力。加快建立柑桔（农产品）加工园区，为柑桔加工企业集聚发展提供平台。大力开展招商引资，创造条件引进国内外柑桔加工企业来兴安县落户或建立原料基地和加工厂。</w:t>
      </w:r>
    </w:p>
    <w:p>
      <w:pPr>
        <w:spacing w:line="560" w:lineRule="exact"/>
        <w:ind w:firstLine="560"/>
        <w:rPr>
          <w:rFonts w:ascii="宋体" w:hAnsi="宋体" w:cs="宋体"/>
          <w:szCs w:val="28"/>
        </w:rPr>
      </w:pPr>
    </w:p>
    <w:p>
      <w:pPr>
        <w:pStyle w:val="4"/>
        <w:spacing w:before="156" w:after="156"/>
        <w:ind w:firstLine="452"/>
      </w:pPr>
      <w:r>
        <w:rPr>
          <w:rFonts w:hint="eastAsia"/>
        </w:rPr>
        <w:t>（二）产业布局</w:t>
      </w:r>
    </w:p>
    <w:p>
      <w:pPr>
        <w:spacing w:line="560" w:lineRule="exact"/>
        <w:ind w:firstLine="560"/>
        <w:rPr>
          <w:rFonts w:ascii="宋体" w:hAnsi="宋体" w:cs="宋体"/>
          <w:szCs w:val="28"/>
        </w:rPr>
      </w:pPr>
      <w:r>
        <w:rPr>
          <w:rFonts w:hint="eastAsia" w:ascii="宋体" w:hAnsi="宋体" w:cs="宋体"/>
          <w:bCs/>
          <w:szCs w:val="28"/>
        </w:rPr>
        <w:t>将全县</w:t>
      </w:r>
      <w:r>
        <w:rPr>
          <w:rFonts w:hint="eastAsia" w:ascii="宋体" w:hAnsi="宋体" w:cs="宋体"/>
          <w:szCs w:val="28"/>
        </w:rPr>
        <w:t>柑桔产业规划布局为优势主产区、潜力发展区和辐射发展区，重点向北部山地缓坡扩种，引进种植柑桔新品种，适当发展冰糖橙和加工橙类，调整优化柑桔产业结构、品种结构、熟期结构，推广柑桔种植新技术，抓好柑桔黄龙病综合防治。</w:t>
      </w:r>
    </w:p>
    <w:p>
      <w:pPr>
        <w:pStyle w:val="25"/>
        <w:tabs>
          <w:tab w:val="left" w:pos="780"/>
        </w:tabs>
        <w:spacing w:line="560" w:lineRule="exact"/>
        <w:ind w:firstLine="562"/>
        <w:rPr>
          <w:rFonts w:ascii="宋体" w:hAnsi="宋体" w:cs="宋体"/>
          <w:b/>
          <w:bCs/>
          <w:szCs w:val="28"/>
        </w:rPr>
      </w:pPr>
      <w:r>
        <w:rPr>
          <w:rFonts w:hint="eastAsia" w:ascii="宋体" w:hAnsi="宋体" w:cs="宋体"/>
          <w:b/>
          <w:bCs/>
          <w:szCs w:val="28"/>
        </w:rPr>
        <w:t>1.优势主产区，</w:t>
      </w:r>
      <w:r>
        <w:rPr>
          <w:rFonts w:hint="eastAsia" w:ascii="宋体" w:hAnsi="宋体" w:cs="宋体"/>
          <w:szCs w:val="28"/>
        </w:rPr>
        <w:t>布局在界首镇、湘漓镇，占全县柑桔种植面积的67.5%，规模优势明显。</w:t>
      </w:r>
      <w:r>
        <w:rPr>
          <w:rFonts w:hint="eastAsia" w:ascii="宋体" w:hAnsi="宋体" w:cs="宋体"/>
          <w:bCs/>
          <w:szCs w:val="28"/>
        </w:rPr>
        <w:t>重点是将位于界首镇兴田村的红色湘江柑桔产业（核心）示范区打造升级为</w:t>
      </w:r>
      <w:r>
        <w:rPr>
          <w:rFonts w:hint="eastAsia" w:ascii="宋体" w:hAnsi="宋体" w:cs="宋体"/>
          <w:bCs/>
          <w:szCs w:val="28"/>
          <w:lang w:eastAsia="zh-CN"/>
        </w:rPr>
        <w:t>广西壮族自治区</w:t>
      </w:r>
      <w:r>
        <w:rPr>
          <w:rFonts w:hint="eastAsia" w:ascii="宋体" w:hAnsi="宋体" w:cs="宋体"/>
          <w:bCs/>
          <w:szCs w:val="28"/>
        </w:rPr>
        <w:t>级</w:t>
      </w:r>
      <w:r>
        <w:rPr>
          <w:rFonts w:hint="eastAsia" w:ascii="宋体" w:hAnsi="宋体" w:cs="宋体"/>
          <w:szCs w:val="28"/>
        </w:rPr>
        <w:t>现代特色农业（核心）</w:t>
      </w:r>
      <w:r>
        <w:rPr>
          <w:rFonts w:hint="eastAsia" w:ascii="宋体" w:hAnsi="宋体" w:cs="宋体"/>
          <w:bCs/>
          <w:szCs w:val="28"/>
        </w:rPr>
        <w:t>示范区。</w:t>
      </w:r>
    </w:p>
    <w:p>
      <w:pPr>
        <w:pStyle w:val="25"/>
        <w:tabs>
          <w:tab w:val="left" w:pos="780"/>
        </w:tabs>
        <w:spacing w:line="560" w:lineRule="exact"/>
        <w:ind w:firstLine="562"/>
        <w:rPr>
          <w:rFonts w:ascii="宋体" w:hAnsi="宋体" w:cs="宋体"/>
          <w:b/>
          <w:bCs/>
          <w:szCs w:val="28"/>
        </w:rPr>
      </w:pPr>
      <w:r>
        <w:rPr>
          <w:rFonts w:hint="eastAsia" w:ascii="宋体" w:hAnsi="宋体" w:cs="宋体"/>
          <w:b/>
          <w:bCs/>
          <w:szCs w:val="28"/>
        </w:rPr>
        <w:t>2.潜力发展区，</w:t>
      </w:r>
      <w:r>
        <w:rPr>
          <w:rFonts w:hint="eastAsia" w:ascii="宋体" w:hAnsi="宋体" w:cs="宋体"/>
          <w:szCs w:val="28"/>
        </w:rPr>
        <w:t>布局在高尚镇、兴安镇、严关镇、溶江镇，占全县柑桔种植面积的26.6%。</w:t>
      </w:r>
    </w:p>
    <w:p>
      <w:pPr>
        <w:pStyle w:val="25"/>
        <w:tabs>
          <w:tab w:val="left" w:pos="780"/>
        </w:tabs>
        <w:spacing w:line="560" w:lineRule="exact"/>
        <w:ind w:firstLine="562"/>
        <w:rPr>
          <w:rFonts w:ascii="宋体" w:hAnsi="宋体" w:cs="宋体"/>
          <w:szCs w:val="28"/>
        </w:rPr>
      </w:pPr>
      <w:r>
        <w:rPr>
          <w:rFonts w:hint="eastAsia" w:ascii="宋体" w:hAnsi="宋体" w:cs="宋体"/>
          <w:b/>
          <w:bCs/>
          <w:szCs w:val="28"/>
        </w:rPr>
        <w:t>3.辐射发展区，</w:t>
      </w:r>
      <w:r>
        <w:rPr>
          <w:rFonts w:hint="eastAsia" w:ascii="宋体" w:hAnsi="宋体" w:cs="宋体"/>
          <w:szCs w:val="28"/>
        </w:rPr>
        <w:t>布局在崔家乡、白石乡和漠川乡、华江瑶族乡，占全县柑桔种植面积的5.7%。</w:t>
      </w:r>
    </w:p>
    <w:p>
      <w:pPr>
        <w:pStyle w:val="23"/>
        <w:ind w:firstLine="240" w:firstLineChars="100"/>
      </w:pPr>
      <w:r>
        <w:rPr>
          <w:rFonts w:hint="eastAsia"/>
        </w:rPr>
        <w:drawing>
          <wp:inline distT="0" distB="0" distL="114300" distR="114300">
            <wp:extent cx="5335270" cy="43395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8" cstate="print">
                      <a:extLst>
                        <a:ext uri="{28A0092B-C50C-407E-A947-70E740481C1C}">
                          <a14:useLocalDpi xmlns:a14="http://schemas.microsoft.com/office/drawing/2010/main" val="0"/>
                        </a:ext>
                      </a:extLst>
                    </a:blip>
                    <a:srcRect l="8259" t="2433" r="6917"/>
                    <a:stretch>
                      <a:fillRect/>
                    </a:stretch>
                  </pic:blipFill>
                  <pic:spPr>
                    <a:xfrm>
                      <a:off x="0" y="0"/>
                      <a:ext cx="5381139" cy="4376648"/>
                    </a:xfrm>
                    <a:prstGeom prst="rect">
                      <a:avLst/>
                    </a:prstGeom>
                    <a:ln>
                      <a:noFill/>
                    </a:ln>
                  </pic:spPr>
                </pic:pic>
              </a:graphicData>
            </a:graphic>
          </wp:inline>
        </w:drawing>
      </w:r>
    </w:p>
    <w:p>
      <w:pPr>
        <w:spacing w:line="360" w:lineRule="auto"/>
        <w:ind w:firstLine="0" w:firstLineChars="0"/>
        <w:jc w:val="center"/>
        <w:rPr>
          <w:rFonts w:ascii="宋体" w:hAnsi="宋体" w:cs="宋体"/>
          <w:b/>
          <w:szCs w:val="28"/>
        </w:rPr>
      </w:pPr>
      <w:r>
        <w:rPr>
          <w:rFonts w:hint="eastAsia" w:ascii="宋体" w:hAnsi="宋体" w:cs="宋体"/>
          <w:szCs w:val="28"/>
        </w:rPr>
        <w:t>图</w:t>
      </w:r>
      <w:r>
        <w:rPr>
          <w:rFonts w:ascii="宋体" w:hAnsi="宋体" w:cs="宋体"/>
          <w:szCs w:val="28"/>
        </w:rPr>
        <w:t xml:space="preserve">7-4 </w:t>
      </w:r>
      <w:r>
        <w:rPr>
          <w:rFonts w:hint="eastAsia" w:ascii="宋体" w:hAnsi="宋体" w:cs="宋体"/>
          <w:szCs w:val="28"/>
        </w:rPr>
        <w:t>柑桔</w:t>
      </w:r>
      <w:r>
        <w:rPr>
          <w:rFonts w:ascii="宋体" w:hAnsi="宋体" w:cs="宋体"/>
          <w:szCs w:val="28"/>
        </w:rPr>
        <w:t>产</w:t>
      </w:r>
      <w:r>
        <w:rPr>
          <w:rFonts w:hint="eastAsia" w:ascii="宋体" w:hAnsi="宋体" w:cs="宋体"/>
          <w:szCs w:val="28"/>
        </w:rPr>
        <w:t>业发展与布局图</w:t>
      </w:r>
    </w:p>
    <w:p>
      <w:pPr>
        <w:pStyle w:val="23"/>
        <w:ind w:firstLine="240" w:firstLineChars="100"/>
      </w:pPr>
    </w:p>
    <w:p>
      <w:pPr>
        <w:pStyle w:val="4"/>
        <w:spacing w:before="156" w:after="156"/>
        <w:ind w:firstLine="452"/>
      </w:pPr>
      <w:r>
        <w:rPr>
          <w:rFonts w:hint="eastAsia"/>
        </w:rPr>
        <w:t>（三）重点建设项目</w:t>
      </w:r>
    </w:p>
    <w:p>
      <w:pPr>
        <w:spacing w:line="560" w:lineRule="exact"/>
        <w:ind w:firstLine="562"/>
        <w:rPr>
          <w:rFonts w:ascii="宋体" w:hAnsi="宋体" w:cs="宋体"/>
          <w:b/>
          <w:szCs w:val="28"/>
        </w:rPr>
      </w:pPr>
      <w:r>
        <w:rPr>
          <w:rFonts w:hint="eastAsia" w:ascii="宋体" w:hAnsi="宋体" w:cs="宋体"/>
          <w:b/>
          <w:szCs w:val="28"/>
        </w:rPr>
        <w:t>1.现代化柑桔无病毒苗木培育中心建设项目</w:t>
      </w:r>
    </w:p>
    <w:p>
      <w:pPr>
        <w:spacing w:line="560" w:lineRule="exact"/>
        <w:ind w:firstLine="562"/>
        <w:rPr>
          <w:rFonts w:ascii="宋体" w:hAnsi="宋体" w:cs="宋体"/>
          <w:szCs w:val="28"/>
        </w:rPr>
      </w:pPr>
      <w:r>
        <w:rPr>
          <w:rFonts w:hint="eastAsia" w:ascii="宋体" w:hAnsi="宋体" w:cs="宋体"/>
          <w:b/>
          <w:szCs w:val="28"/>
        </w:rPr>
        <w:t>建设地点：</w:t>
      </w:r>
      <w:r>
        <w:rPr>
          <w:rFonts w:hint="eastAsia" w:ascii="宋体" w:hAnsi="宋体" w:cs="宋体"/>
          <w:szCs w:val="28"/>
        </w:rPr>
        <w:t>兴安镇、溶江镇</w:t>
      </w:r>
    </w:p>
    <w:p>
      <w:pPr>
        <w:spacing w:line="560" w:lineRule="exact"/>
        <w:ind w:firstLine="562"/>
        <w:rPr>
          <w:rFonts w:ascii="宋体" w:hAnsi="宋体" w:cs="宋体"/>
          <w:szCs w:val="28"/>
        </w:rPr>
      </w:pPr>
      <w:r>
        <w:rPr>
          <w:rFonts w:hint="eastAsia" w:ascii="宋体" w:hAnsi="宋体" w:cs="宋体"/>
          <w:b/>
          <w:szCs w:val="28"/>
        </w:rPr>
        <w:t>建设规模：</w:t>
      </w:r>
      <w:r>
        <w:rPr>
          <w:rFonts w:hint="eastAsia" w:ascii="宋体" w:hAnsi="宋体" w:cs="宋体"/>
          <w:szCs w:val="28"/>
        </w:rPr>
        <w:t>100亩</w:t>
      </w:r>
    </w:p>
    <w:p>
      <w:pPr>
        <w:spacing w:line="560" w:lineRule="exact"/>
        <w:ind w:firstLine="562"/>
        <w:rPr>
          <w:rFonts w:ascii="宋体" w:hAnsi="宋体" w:cs="宋体"/>
          <w:szCs w:val="28"/>
        </w:rPr>
      </w:pPr>
      <w:r>
        <w:rPr>
          <w:rFonts w:hint="eastAsia" w:ascii="宋体" w:hAnsi="宋体" w:cs="宋体"/>
          <w:b/>
          <w:szCs w:val="28"/>
        </w:rPr>
        <w:t>建设内容：</w:t>
      </w:r>
      <w:r>
        <w:rPr>
          <w:rFonts w:hint="eastAsia" w:ascii="宋体" w:hAnsi="宋体" w:cs="宋体"/>
          <w:szCs w:val="28"/>
        </w:rPr>
        <w:t>依托广西特色作物研究院（原桂林柑桔研究所）、兴安县农科所，建设县级现代化柑桔无病毒苗木培育中心，开展柑桔优良新品种的引进、鉴定、脱毒、保存与无病毒苗木的培育。主要建设</w:t>
      </w:r>
      <w:r>
        <w:rPr>
          <w:rFonts w:hint="eastAsia"/>
          <w:szCs w:val="28"/>
        </w:rPr>
        <w:t>无毒良种良种展示园、采穗圃、苗木繁殖圃即“一园二圃”</w:t>
      </w:r>
      <w:r>
        <w:rPr>
          <w:rFonts w:hint="eastAsia" w:ascii="宋体" w:hAnsi="宋体" w:cs="宋体"/>
          <w:szCs w:val="28"/>
        </w:rPr>
        <w:t>以及基础设施。</w:t>
      </w:r>
    </w:p>
    <w:p>
      <w:pPr>
        <w:spacing w:line="560" w:lineRule="exact"/>
        <w:ind w:firstLine="562"/>
        <w:rPr>
          <w:rFonts w:ascii="宋体" w:hAnsi="宋体" w:cs="宋体"/>
          <w:szCs w:val="28"/>
        </w:rPr>
      </w:pPr>
      <w:r>
        <w:rPr>
          <w:rFonts w:hint="eastAsia" w:ascii="宋体" w:hAnsi="宋体" w:cs="宋体"/>
          <w:b/>
          <w:szCs w:val="28"/>
        </w:rPr>
        <w:t>项目投资：</w:t>
      </w:r>
      <w:r>
        <w:rPr>
          <w:rFonts w:hint="eastAsia" w:ascii="宋体" w:hAnsi="宋体" w:cs="宋体"/>
          <w:szCs w:val="28"/>
        </w:rPr>
        <w:t>300万元。</w:t>
      </w:r>
    </w:p>
    <w:p>
      <w:pPr>
        <w:spacing w:line="560" w:lineRule="exact"/>
        <w:ind w:firstLine="562"/>
        <w:rPr>
          <w:rFonts w:ascii="宋体" w:hAnsi="宋体" w:cs="宋体"/>
          <w:szCs w:val="28"/>
        </w:rPr>
      </w:pPr>
      <w:r>
        <w:rPr>
          <w:rFonts w:hint="eastAsia" w:ascii="宋体" w:hAnsi="宋体" w:cs="宋体"/>
          <w:b/>
          <w:szCs w:val="28"/>
        </w:rPr>
        <w:t>2.优质柑桔种植示范基地建设项目</w:t>
      </w:r>
    </w:p>
    <w:p>
      <w:pPr>
        <w:spacing w:line="560" w:lineRule="exact"/>
        <w:ind w:firstLine="562"/>
        <w:rPr>
          <w:rFonts w:ascii="宋体" w:hAnsi="宋体" w:cs="宋体"/>
          <w:b/>
          <w:szCs w:val="28"/>
        </w:rPr>
      </w:pPr>
      <w:r>
        <w:rPr>
          <w:rFonts w:hint="eastAsia" w:ascii="宋体" w:hAnsi="宋体" w:cs="宋体"/>
          <w:b/>
          <w:szCs w:val="28"/>
        </w:rPr>
        <w:t>建设地点：</w:t>
      </w:r>
      <w:r>
        <w:rPr>
          <w:rFonts w:hint="eastAsia" w:ascii="宋体" w:hAnsi="宋体" w:cs="宋体"/>
          <w:szCs w:val="28"/>
        </w:rPr>
        <w:t>界首镇、湘漓镇、高尚镇、兴安镇、严关镇、溶江镇</w:t>
      </w:r>
    </w:p>
    <w:p>
      <w:pPr>
        <w:spacing w:line="560" w:lineRule="exact"/>
        <w:ind w:firstLine="562"/>
        <w:rPr>
          <w:rFonts w:ascii="宋体" w:hAnsi="宋体" w:cs="宋体"/>
          <w:b/>
          <w:szCs w:val="28"/>
        </w:rPr>
      </w:pPr>
      <w:r>
        <w:rPr>
          <w:rFonts w:hint="eastAsia" w:ascii="宋体" w:hAnsi="宋体" w:cs="宋体"/>
          <w:b/>
          <w:bCs/>
          <w:szCs w:val="28"/>
        </w:rPr>
        <w:t>建设规模：</w:t>
      </w:r>
      <w:r>
        <w:rPr>
          <w:rFonts w:hint="eastAsia" w:ascii="宋体" w:hAnsi="宋体" w:cs="宋体"/>
          <w:szCs w:val="28"/>
        </w:rPr>
        <w:t>①在界首镇、湘漓镇建设以南丰蜜桔、冰糖橙等新品种为主的绿色柑桔示范基地5000亩和柑桔黄龙病综合防控示范基地2万亩。②在高尚镇、兴安镇、严关镇、溶江镇建设柑桔新品种种植示范基地1万亩，引进种植柑桔新品种，发展冰糖橙和加工橙类。</w:t>
      </w:r>
    </w:p>
    <w:p>
      <w:pPr>
        <w:spacing w:line="560" w:lineRule="exact"/>
        <w:ind w:firstLine="562"/>
        <w:rPr>
          <w:rFonts w:ascii="宋体" w:hAnsi="宋体" w:cs="宋体"/>
          <w:szCs w:val="28"/>
        </w:rPr>
      </w:pPr>
      <w:r>
        <w:rPr>
          <w:rFonts w:hint="eastAsia" w:ascii="宋体" w:hAnsi="宋体" w:cs="宋体"/>
          <w:b/>
          <w:szCs w:val="28"/>
        </w:rPr>
        <w:t>建设内容：</w:t>
      </w:r>
      <w:r>
        <w:rPr>
          <w:rFonts w:hint="eastAsia" w:ascii="宋体" w:hAnsi="宋体" w:cs="宋体"/>
          <w:szCs w:val="28"/>
        </w:rPr>
        <w:t>围绕优良品种、产地环境、农业投入品的选用和准入、生产过程控制、产品市场准入等方面进行标准化生产，推广应用绿色食品标准果品栽培技术。</w:t>
      </w:r>
    </w:p>
    <w:p>
      <w:pPr>
        <w:spacing w:line="560" w:lineRule="exact"/>
        <w:ind w:firstLine="562"/>
        <w:rPr>
          <w:rFonts w:ascii="宋体" w:hAnsi="宋体" w:cs="宋体"/>
          <w:szCs w:val="28"/>
        </w:rPr>
      </w:pPr>
      <w:r>
        <w:rPr>
          <w:rFonts w:hint="eastAsia" w:ascii="宋体" w:hAnsi="宋体" w:cs="宋体"/>
          <w:b/>
          <w:szCs w:val="28"/>
        </w:rPr>
        <w:t>项目投资：</w:t>
      </w:r>
      <w:r>
        <w:rPr>
          <w:rFonts w:hint="eastAsia" w:ascii="宋体" w:hAnsi="宋体" w:cs="宋体"/>
          <w:szCs w:val="28"/>
        </w:rPr>
        <w:t>3000万元。</w:t>
      </w:r>
    </w:p>
    <w:p>
      <w:pPr>
        <w:spacing w:line="560" w:lineRule="exact"/>
        <w:ind w:firstLine="562"/>
        <w:rPr>
          <w:rFonts w:ascii="宋体" w:hAnsi="宋体" w:cs="宋体"/>
          <w:b/>
          <w:szCs w:val="28"/>
        </w:rPr>
      </w:pPr>
      <w:r>
        <w:rPr>
          <w:rFonts w:hint="eastAsia" w:ascii="宋体" w:hAnsi="宋体" w:cs="宋体"/>
          <w:b/>
          <w:szCs w:val="28"/>
        </w:rPr>
        <w:t>3.柑桔采后商品化处理分级包装示范中心项目</w:t>
      </w:r>
    </w:p>
    <w:p>
      <w:pPr>
        <w:spacing w:line="560" w:lineRule="exact"/>
        <w:ind w:firstLine="562"/>
        <w:rPr>
          <w:rFonts w:ascii="宋体" w:hAnsi="宋体" w:cs="宋体"/>
          <w:b/>
          <w:szCs w:val="28"/>
        </w:rPr>
      </w:pPr>
      <w:r>
        <w:rPr>
          <w:rFonts w:hint="eastAsia" w:ascii="宋体" w:hAnsi="宋体" w:cs="宋体"/>
          <w:b/>
          <w:szCs w:val="28"/>
        </w:rPr>
        <w:t>建设地点：</w:t>
      </w:r>
      <w:r>
        <w:rPr>
          <w:rFonts w:hint="eastAsia" w:ascii="宋体" w:hAnsi="宋体" w:cs="宋体"/>
          <w:szCs w:val="28"/>
        </w:rPr>
        <w:t>界首镇、湘漓镇</w:t>
      </w:r>
    </w:p>
    <w:p>
      <w:pPr>
        <w:spacing w:line="560" w:lineRule="exact"/>
        <w:ind w:firstLine="562"/>
        <w:rPr>
          <w:rFonts w:ascii="宋体" w:hAnsi="宋体" w:cs="宋体"/>
          <w:szCs w:val="28"/>
        </w:rPr>
      </w:pPr>
      <w:r>
        <w:rPr>
          <w:rFonts w:hint="eastAsia" w:ascii="宋体" w:hAnsi="宋体" w:cs="宋体"/>
          <w:b/>
          <w:szCs w:val="28"/>
        </w:rPr>
        <w:t>建设内容：</w:t>
      </w:r>
      <w:r>
        <w:rPr>
          <w:rFonts w:hint="eastAsia" w:ascii="宋体" w:hAnsi="宋体" w:cs="宋体"/>
          <w:szCs w:val="28"/>
        </w:rPr>
        <w:t>在界首镇、湘漓镇各改造1个大型和1个中型现代化商品化处理分级包装中心。</w:t>
      </w:r>
    </w:p>
    <w:p>
      <w:pPr>
        <w:spacing w:line="560" w:lineRule="exact"/>
        <w:ind w:firstLine="562"/>
        <w:rPr>
          <w:rFonts w:ascii="宋体" w:hAnsi="宋体" w:cs="宋体"/>
          <w:b/>
          <w:szCs w:val="28"/>
        </w:rPr>
      </w:pPr>
      <w:r>
        <w:rPr>
          <w:rFonts w:hint="eastAsia" w:ascii="宋体" w:hAnsi="宋体" w:cs="宋体"/>
          <w:b/>
          <w:szCs w:val="28"/>
        </w:rPr>
        <w:t>项目投资：</w:t>
      </w:r>
      <w:r>
        <w:rPr>
          <w:rFonts w:hint="eastAsia" w:ascii="宋体" w:hAnsi="宋体" w:cs="宋体"/>
          <w:szCs w:val="28"/>
        </w:rPr>
        <w:t>500万元。</w:t>
      </w:r>
    </w:p>
    <w:p>
      <w:pPr>
        <w:pStyle w:val="3"/>
        <w:ind w:firstLine="643"/>
      </w:pPr>
      <w:r>
        <w:fldChar w:fldCharType="begin"/>
      </w:r>
      <w:r>
        <w:instrText xml:space="preserve"> HYPERLINK \l "_Toc529132049" </w:instrText>
      </w:r>
      <w:r>
        <w:fldChar w:fldCharType="separate"/>
      </w:r>
      <w:bookmarkStart w:id="113" w:name="_Toc21594860"/>
      <w:r>
        <w:rPr>
          <w:rFonts w:hint="eastAsia"/>
        </w:rPr>
        <w:t>五、食用菌产业发展与布局</w:t>
      </w:r>
      <w:bookmarkEnd w:id="113"/>
      <w:r>
        <w:rPr>
          <w:rFonts w:hint="eastAsia"/>
        </w:rPr>
        <w:fldChar w:fldCharType="end"/>
      </w:r>
    </w:p>
    <w:p>
      <w:pPr>
        <w:pStyle w:val="4"/>
        <w:spacing w:before="156" w:after="156"/>
        <w:ind w:firstLine="452"/>
      </w:pPr>
      <w:r>
        <w:rPr>
          <w:rFonts w:hint="eastAsia"/>
        </w:rPr>
        <w:t>（一）发展方向</w:t>
      </w:r>
    </w:p>
    <w:p>
      <w:pPr>
        <w:pStyle w:val="32"/>
        <w:spacing w:line="360" w:lineRule="auto"/>
        <w:ind w:firstLine="562" w:firstLineChars="200"/>
        <w:rPr>
          <w:rFonts w:ascii="宋体" w:hAnsi="宋体" w:cs="宋体"/>
          <w:kern w:val="2"/>
          <w:sz w:val="28"/>
          <w:szCs w:val="28"/>
        </w:rPr>
      </w:pPr>
      <w:r>
        <w:rPr>
          <w:rFonts w:hint="eastAsia" w:ascii="宋体" w:hAnsi="宋体" w:cs="宋体"/>
          <w:b/>
          <w:kern w:val="2"/>
          <w:sz w:val="28"/>
          <w:szCs w:val="28"/>
        </w:rPr>
        <w:t>1.扩大种植规模。</w:t>
      </w:r>
      <w:r>
        <w:rPr>
          <w:rFonts w:hint="eastAsia" w:ascii="宋体" w:hAnsi="宋体" w:cs="宋体"/>
          <w:kern w:val="2"/>
          <w:sz w:val="28"/>
          <w:szCs w:val="28"/>
        </w:rPr>
        <w:t>扩大食用菌生产规模，病利用天然岩洞发展反季节</w:t>
      </w:r>
      <w:r>
        <w:rPr>
          <w:rFonts w:hint="eastAsia" w:ascii="宋体" w:hAnsi="宋体" w:cs="宋体"/>
          <w:kern w:val="2"/>
          <w:sz w:val="28"/>
          <w:szCs w:val="28"/>
          <w:lang w:eastAsia="zh-CN"/>
        </w:rPr>
        <w:t>蘑菇生产</w:t>
      </w:r>
      <w:r>
        <w:rPr>
          <w:rFonts w:hint="eastAsia" w:ascii="宋体" w:hAnsi="宋体" w:cs="宋体"/>
          <w:kern w:val="2"/>
          <w:sz w:val="28"/>
          <w:szCs w:val="28"/>
        </w:rPr>
        <w:t>，实现食用菌的周年生产，丰富市场需求，种植面积达到1200万平方米以上。</w:t>
      </w:r>
    </w:p>
    <w:p>
      <w:pPr>
        <w:pStyle w:val="32"/>
        <w:spacing w:line="360" w:lineRule="auto"/>
        <w:ind w:firstLine="562" w:firstLineChars="200"/>
        <w:rPr>
          <w:rFonts w:ascii="宋体" w:hAnsi="宋体" w:cs="宋体"/>
          <w:kern w:val="2"/>
          <w:sz w:val="28"/>
          <w:szCs w:val="28"/>
        </w:rPr>
      </w:pPr>
      <w:r>
        <w:rPr>
          <w:rFonts w:hint="eastAsia" w:ascii="宋体" w:hAnsi="宋体" w:cs="宋体"/>
          <w:b/>
          <w:kern w:val="2"/>
          <w:sz w:val="28"/>
          <w:szCs w:val="28"/>
        </w:rPr>
        <w:t>2.菌种良种化。</w:t>
      </w:r>
      <w:r>
        <w:rPr>
          <w:rFonts w:hint="eastAsia" w:ascii="宋体" w:hAnsi="宋体" w:cs="宋体"/>
          <w:kern w:val="2"/>
          <w:sz w:val="28"/>
          <w:szCs w:val="28"/>
        </w:rPr>
        <w:t>在巩固蘑菇、木耳、香菇等当家低温食用菌品种的生产的基础上，引进试种新型优质高温型食用菌品种，提高食用菌单产和品质。</w:t>
      </w:r>
    </w:p>
    <w:p>
      <w:pPr>
        <w:pStyle w:val="32"/>
        <w:spacing w:line="360" w:lineRule="auto"/>
        <w:ind w:firstLine="560" w:firstLineChars="200"/>
        <w:rPr>
          <w:rFonts w:ascii="宋体" w:hAnsi="宋体" w:cs="宋体"/>
          <w:kern w:val="2"/>
          <w:sz w:val="28"/>
          <w:szCs w:val="28"/>
        </w:rPr>
      </w:pPr>
    </w:p>
    <w:p>
      <w:pPr>
        <w:ind w:firstLine="562"/>
      </w:pPr>
      <w:r>
        <w:rPr>
          <w:b/>
        </w:rPr>
        <w:t>3.</w:t>
      </w:r>
      <w:r>
        <w:rPr>
          <w:rFonts w:hint="eastAsia"/>
          <w:b/>
        </w:rPr>
        <w:t>基地标准化。</w:t>
      </w:r>
      <w:r>
        <w:rPr>
          <w:rFonts w:hint="eastAsia"/>
        </w:rPr>
        <w:t>围绕原辅材料、生产环境、栽培管理、加工销售、存储物流等，健全完善食用菌标准体系，指导生产经营主体标准化生产，规范食用菌栽培和生产管理，提高标准化程度。</w:t>
      </w:r>
    </w:p>
    <w:p>
      <w:pPr>
        <w:ind w:firstLine="562"/>
      </w:pPr>
      <w:r>
        <w:rPr>
          <w:rFonts w:hint="eastAsia"/>
          <w:b/>
        </w:rPr>
        <w:t>4.</w:t>
      </w:r>
      <w:r>
        <w:rPr>
          <w:b/>
        </w:rPr>
        <w:t>食用菌工厂化</w:t>
      </w:r>
      <w:r>
        <w:rPr>
          <w:rFonts w:hint="eastAsia"/>
          <w:b/>
        </w:rPr>
        <w:t>。</w:t>
      </w:r>
      <w:r>
        <w:rPr>
          <w:rFonts w:hint="eastAsia"/>
        </w:rPr>
        <w:t>目前</w:t>
      </w:r>
      <w:r>
        <w:t>兴安县有两家较好的</w:t>
      </w:r>
      <w:r>
        <w:rPr>
          <w:rFonts w:hint="eastAsia"/>
        </w:rPr>
        <w:t>工厂化标准</w:t>
      </w:r>
      <w:r>
        <w:t>种植基地</w:t>
      </w:r>
      <w:r>
        <w:rPr>
          <w:rFonts w:hint="eastAsia"/>
        </w:rPr>
        <w:t>（湘涡振明食用菌种植基地、菇云食用菌家庭农场），利用</w:t>
      </w:r>
      <w:r>
        <w:t>两家</w:t>
      </w:r>
      <w:r>
        <w:rPr>
          <w:rFonts w:hint="eastAsia"/>
        </w:rPr>
        <w:t>工厂</w:t>
      </w:r>
      <w:r>
        <w:t>化</w:t>
      </w:r>
      <w:r>
        <w:rPr>
          <w:rFonts w:hint="eastAsia"/>
        </w:rPr>
        <w:t>标准</w:t>
      </w:r>
      <w:r>
        <w:t>种植基地带动</w:t>
      </w:r>
      <w:r>
        <w:rPr>
          <w:rFonts w:hint="eastAsia"/>
        </w:rPr>
        <w:t>兴安县</w:t>
      </w:r>
      <w:r>
        <w:t>食用菌</w:t>
      </w:r>
      <w:r>
        <w:rPr>
          <w:rFonts w:hint="eastAsia"/>
        </w:rPr>
        <w:t>产业</w:t>
      </w:r>
      <w:r>
        <w:t>的</w:t>
      </w:r>
      <w:r>
        <w:rPr>
          <w:rFonts w:hint="eastAsia"/>
        </w:rPr>
        <w:t>发展。</w:t>
      </w:r>
    </w:p>
    <w:p>
      <w:pPr>
        <w:ind w:firstLine="560"/>
        <w:rPr>
          <w:b/>
        </w:rPr>
      </w:pPr>
      <w:r>
        <w:rPr>
          <w:rFonts w:hint="eastAsia" w:ascii="宋体" w:hAnsi="宋体" w:cs="宋体"/>
          <w:szCs w:val="28"/>
        </w:rPr>
        <w:t>我国食用菌生产将由基地</w:t>
      </w:r>
      <w:r>
        <w:rPr>
          <w:rFonts w:ascii="宋体" w:hAnsi="宋体" w:cs="宋体"/>
          <w:szCs w:val="28"/>
        </w:rPr>
        <w:t>、</w:t>
      </w:r>
      <w:r>
        <w:rPr>
          <w:rFonts w:hint="eastAsia" w:ascii="宋体" w:hAnsi="宋体" w:cs="宋体"/>
          <w:szCs w:val="28"/>
        </w:rPr>
        <w:t>家庭农场生产向工厂化生产、集约化经营方向转变。当前，食用菌产业正在发生着两大变化，一是经营方式由自产自销的小农经济向工厂化、规模化转变，二是增长方式由粗放型经营向集约型、精细化转变。我国的食用菌产业必将打破传统模式，增强科技创新能力，走产业化道路和标准化生产模式，以行业龙头企业带动产业化、标准化、规模化发展。工厂化生产食用菌是未来食用菌产业发展的必由之路，是高效农业的必然要求，同时也是把食用菌产业做大做强的必然要求。</w:t>
      </w:r>
    </w:p>
    <w:p>
      <w:pPr>
        <w:pStyle w:val="32"/>
        <w:spacing w:line="360" w:lineRule="auto"/>
        <w:ind w:firstLine="562" w:firstLineChars="200"/>
        <w:rPr>
          <w:rFonts w:ascii="宋体" w:hAnsi="宋体" w:cs="宋体"/>
          <w:kern w:val="2"/>
          <w:sz w:val="28"/>
          <w:szCs w:val="28"/>
        </w:rPr>
      </w:pPr>
      <w:r>
        <w:rPr>
          <w:b/>
          <w:kern w:val="2"/>
          <w:sz w:val="28"/>
          <w:szCs w:val="24"/>
        </w:rPr>
        <w:t>5</w:t>
      </w:r>
      <w:r>
        <w:rPr>
          <w:rFonts w:hint="eastAsia"/>
          <w:b/>
          <w:kern w:val="2"/>
          <w:sz w:val="28"/>
          <w:szCs w:val="24"/>
        </w:rPr>
        <w:t>.过程机械化。</w:t>
      </w:r>
      <w:r>
        <w:rPr>
          <w:rFonts w:hint="eastAsia" w:ascii="宋体" w:hAnsi="宋体" w:cs="宋体"/>
          <w:kern w:val="2"/>
          <w:sz w:val="28"/>
          <w:szCs w:val="28"/>
        </w:rPr>
        <w:t>在食用菌生产拌料、装袋、灭菌、接种、出菇管理、采后处理等生产环节，大力推广应用拌料机、装袋机、灭菌炉、环境控制设备、筛选机等食用菌生产加工机械。</w:t>
      </w:r>
    </w:p>
    <w:p>
      <w:pPr>
        <w:pStyle w:val="4"/>
        <w:spacing w:before="156" w:after="156" w:line="520" w:lineRule="exact"/>
        <w:ind w:firstLine="452"/>
      </w:pPr>
      <w:r>
        <w:rPr>
          <w:rFonts w:hint="eastAsia"/>
        </w:rPr>
        <w:t>（二）产业布局</w:t>
      </w:r>
    </w:p>
    <w:p>
      <w:pPr>
        <w:pStyle w:val="25"/>
        <w:tabs>
          <w:tab w:val="left" w:pos="780"/>
        </w:tabs>
        <w:spacing w:line="520" w:lineRule="exact"/>
        <w:ind w:firstLine="561" w:firstLineChars="0"/>
        <w:rPr>
          <w:rFonts w:ascii="宋体" w:hAnsi="宋体" w:cs="宋体"/>
          <w:szCs w:val="28"/>
        </w:rPr>
      </w:pPr>
      <w:r>
        <w:rPr>
          <w:rFonts w:hint="eastAsia" w:ascii="宋体" w:hAnsi="宋体" w:cs="宋体"/>
          <w:b/>
          <w:szCs w:val="28"/>
        </w:rPr>
        <w:t>1.优势主产区：</w:t>
      </w:r>
      <w:r>
        <w:rPr>
          <w:rFonts w:hint="eastAsia" w:ascii="宋体" w:hAnsi="宋体" w:cs="宋体"/>
          <w:szCs w:val="28"/>
        </w:rPr>
        <w:t>兴安县食用菌生产主要分布在高尚镇、兴安镇、严关镇、湘漓镇、崔家乡、华江瑶族乡、溶江镇（金石片区）。</w:t>
      </w:r>
    </w:p>
    <w:p>
      <w:pPr>
        <w:pStyle w:val="25"/>
        <w:tabs>
          <w:tab w:val="left" w:pos="780"/>
        </w:tabs>
        <w:spacing w:line="520" w:lineRule="exact"/>
        <w:ind w:firstLine="561" w:firstLineChars="0"/>
        <w:rPr>
          <w:rFonts w:ascii="宋体" w:hAnsi="宋体" w:cs="宋体"/>
          <w:szCs w:val="28"/>
        </w:rPr>
      </w:pPr>
      <w:r>
        <w:rPr>
          <w:rFonts w:hint="eastAsia" w:ascii="宋体" w:hAnsi="宋体" w:cs="宋体"/>
          <w:b/>
          <w:szCs w:val="28"/>
        </w:rPr>
        <w:t>2.辐射发展区：</w:t>
      </w:r>
      <w:r>
        <w:rPr>
          <w:rFonts w:hint="eastAsia" w:ascii="宋体" w:hAnsi="宋体" w:cs="宋体"/>
          <w:szCs w:val="28"/>
        </w:rPr>
        <w:t>其他各乡镇。</w:t>
      </w:r>
    </w:p>
    <w:p>
      <w:pPr>
        <w:pStyle w:val="25"/>
        <w:tabs>
          <w:tab w:val="left" w:pos="780"/>
        </w:tabs>
        <w:spacing w:line="520" w:lineRule="exact"/>
        <w:ind w:firstLine="561" w:firstLineChars="0"/>
        <w:rPr>
          <w:rFonts w:ascii="宋体" w:hAnsi="宋体" w:cs="宋体"/>
          <w:szCs w:val="28"/>
        </w:rPr>
      </w:pPr>
      <w:r>
        <w:rPr>
          <w:rFonts w:hint="eastAsia" w:ascii="宋体" w:hAnsi="宋体" w:cs="宋体"/>
          <w:szCs w:val="28"/>
        </w:rPr>
        <w:t>发展重点：生产模式逐步发展为企业和协会带动，实行订单生产，形成典型的“公司+基地+农户”的市场模式，食用菌生产向食药两用、集约、规模、产业化方向发展。</w:t>
      </w:r>
    </w:p>
    <w:p>
      <w:pPr>
        <w:spacing w:line="360" w:lineRule="auto"/>
        <w:ind w:firstLine="0" w:firstLineChars="0"/>
        <w:jc w:val="center"/>
        <w:rPr>
          <w:rFonts w:ascii="宋体" w:hAnsi="宋体" w:cs="宋体"/>
          <w:szCs w:val="28"/>
        </w:rPr>
      </w:pPr>
      <w:r>
        <w:rPr>
          <w:rFonts w:hint="eastAsia" w:ascii="宋体" w:hAnsi="宋体" w:cs="宋体"/>
          <w:szCs w:val="28"/>
        </w:rPr>
        <w:drawing>
          <wp:inline distT="0" distB="0" distL="114300" distR="114300">
            <wp:extent cx="6284595" cy="4732020"/>
            <wp:effectExtent l="0" t="0" r="1905" b="0"/>
            <wp:docPr id="28" name="图片 28" descr="12-食用菌产业发展与布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2-食用菌产业发展与布局"/>
                    <pic:cNvPicPr>
                      <a:picLocks noChangeAspect="1"/>
                    </pic:cNvPicPr>
                  </pic:nvPicPr>
                  <pic:blipFill>
                    <a:blip r:embed="rId49"/>
                    <a:srcRect l="1313" t="1606" r="7502" b="1297"/>
                    <a:stretch>
                      <a:fillRect/>
                    </a:stretch>
                  </pic:blipFill>
                  <pic:spPr>
                    <a:xfrm>
                      <a:off x="0" y="0"/>
                      <a:ext cx="6431848" cy="4843249"/>
                    </a:xfrm>
                    <a:prstGeom prst="rect">
                      <a:avLst/>
                    </a:prstGeom>
                  </pic:spPr>
                </pic:pic>
              </a:graphicData>
            </a:graphic>
          </wp:inline>
        </w:drawing>
      </w:r>
    </w:p>
    <w:p>
      <w:pPr>
        <w:spacing w:line="360" w:lineRule="auto"/>
        <w:ind w:firstLine="0" w:firstLineChars="0"/>
        <w:jc w:val="center"/>
        <w:rPr>
          <w:rFonts w:ascii="宋体" w:hAnsi="宋体" w:cs="宋体"/>
          <w:b/>
          <w:szCs w:val="28"/>
        </w:rPr>
      </w:pPr>
      <w:r>
        <w:rPr>
          <w:rFonts w:hint="eastAsia" w:ascii="宋体" w:hAnsi="宋体" w:cs="宋体"/>
          <w:szCs w:val="28"/>
        </w:rPr>
        <w:t>图</w:t>
      </w:r>
      <w:r>
        <w:rPr>
          <w:rFonts w:ascii="宋体" w:hAnsi="宋体" w:cs="宋体"/>
          <w:szCs w:val="28"/>
        </w:rPr>
        <w:t xml:space="preserve">7-5 </w:t>
      </w:r>
      <w:r>
        <w:rPr>
          <w:rFonts w:hint="eastAsia" w:ascii="宋体" w:hAnsi="宋体" w:cs="宋体"/>
          <w:szCs w:val="28"/>
        </w:rPr>
        <w:t>食用菌</w:t>
      </w:r>
      <w:r>
        <w:rPr>
          <w:rFonts w:ascii="宋体" w:hAnsi="宋体" w:cs="宋体"/>
          <w:szCs w:val="28"/>
        </w:rPr>
        <w:t>产</w:t>
      </w:r>
      <w:r>
        <w:rPr>
          <w:rFonts w:hint="eastAsia" w:ascii="宋体" w:hAnsi="宋体" w:cs="宋体"/>
          <w:szCs w:val="28"/>
        </w:rPr>
        <w:t>业发展与布局图</w:t>
      </w:r>
    </w:p>
    <w:p>
      <w:pPr>
        <w:pStyle w:val="25"/>
        <w:tabs>
          <w:tab w:val="left" w:pos="780"/>
        </w:tabs>
        <w:ind w:firstLine="0" w:firstLineChars="0"/>
        <w:jc w:val="center"/>
        <w:rPr>
          <w:rFonts w:ascii="宋体" w:hAnsi="宋体" w:cs="宋体"/>
          <w:szCs w:val="28"/>
        </w:rPr>
      </w:pPr>
    </w:p>
    <w:p>
      <w:pPr>
        <w:pStyle w:val="4"/>
        <w:spacing w:before="156" w:after="156"/>
        <w:ind w:firstLine="452"/>
      </w:pPr>
      <w:r>
        <w:rPr>
          <w:rFonts w:hint="eastAsia"/>
        </w:rPr>
        <w:t>（三）重点建设项目</w:t>
      </w:r>
    </w:p>
    <w:p>
      <w:pPr>
        <w:pStyle w:val="25"/>
        <w:tabs>
          <w:tab w:val="left" w:pos="780"/>
        </w:tabs>
        <w:ind w:firstLine="560" w:firstLineChars="0"/>
        <w:rPr>
          <w:rFonts w:ascii="宋体" w:hAnsi="宋体" w:cs="宋体"/>
          <w:b/>
          <w:bCs/>
          <w:szCs w:val="28"/>
        </w:rPr>
      </w:pPr>
      <w:r>
        <w:rPr>
          <w:rFonts w:hint="eastAsia" w:ascii="宋体" w:hAnsi="宋体" w:cs="宋体"/>
          <w:b/>
          <w:bCs/>
          <w:szCs w:val="28"/>
        </w:rPr>
        <w:t>1.食用菌技术服务平台建设项目</w:t>
      </w:r>
    </w:p>
    <w:p>
      <w:pPr>
        <w:pStyle w:val="25"/>
        <w:tabs>
          <w:tab w:val="left" w:pos="780"/>
        </w:tabs>
        <w:ind w:firstLine="560" w:firstLineChars="0"/>
        <w:rPr>
          <w:rFonts w:ascii="宋体" w:hAnsi="宋体" w:cs="宋体"/>
          <w:szCs w:val="28"/>
        </w:rPr>
      </w:pPr>
      <w:r>
        <w:rPr>
          <w:rFonts w:hint="eastAsia" w:ascii="宋体" w:hAnsi="宋体" w:cs="宋体"/>
          <w:b/>
          <w:bCs/>
          <w:szCs w:val="28"/>
        </w:rPr>
        <w:t>建设地点：</w:t>
      </w:r>
      <w:r>
        <w:rPr>
          <w:rFonts w:hint="eastAsia" w:ascii="宋体" w:hAnsi="宋体" w:cs="宋体"/>
          <w:szCs w:val="28"/>
        </w:rPr>
        <w:t>兴安县农科所</w:t>
      </w:r>
    </w:p>
    <w:p>
      <w:pPr>
        <w:pStyle w:val="25"/>
        <w:tabs>
          <w:tab w:val="left" w:pos="780"/>
        </w:tabs>
        <w:ind w:firstLine="560" w:firstLineChars="0"/>
        <w:rPr>
          <w:rFonts w:ascii="宋体" w:hAnsi="宋体" w:cs="宋体"/>
          <w:szCs w:val="28"/>
        </w:rPr>
      </w:pPr>
      <w:r>
        <w:rPr>
          <w:rFonts w:hint="eastAsia" w:ascii="宋体" w:hAnsi="宋体" w:cs="宋体"/>
          <w:b/>
          <w:bCs/>
          <w:szCs w:val="28"/>
        </w:rPr>
        <w:t>建设内容：</w:t>
      </w:r>
      <w:r>
        <w:rPr>
          <w:rFonts w:hint="eastAsia" w:ascii="宋体" w:hAnsi="宋体" w:cs="宋体"/>
          <w:szCs w:val="28"/>
        </w:rPr>
        <w:t>以兴安县食用菌试验中心、反季节栽培香菇推广中心、食用菌技术培训基地等机构为依托，打造兴安县食用菌新品种试验示范、良种筛选、保育促繁、检验检测、技术培训、推广等技术服务平台。</w:t>
      </w:r>
    </w:p>
    <w:p>
      <w:pPr>
        <w:pStyle w:val="25"/>
        <w:tabs>
          <w:tab w:val="left" w:pos="780"/>
        </w:tabs>
        <w:ind w:firstLine="560" w:firstLineChars="0"/>
        <w:rPr>
          <w:rFonts w:ascii="宋体" w:hAnsi="宋体" w:cs="宋体"/>
          <w:szCs w:val="28"/>
        </w:rPr>
      </w:pPr>
      <w:r>
        <w:rPr>
          <w:rFonts w:hint="eastAsia" w:ascii="宋体" w:hAnsi="宋体" w:cs="宋体"/>
          <w:b/>
          <w:bCs/>
          <w:szCs w:val="28"/>
        </w:rPr>
        <w:t>项目投资：</w:t>
      </w:r>
      <w:r>
        <w:rPr>
          <w:rFonts w:hint="eastAsia" w:ascii="宋体" w:hAnsi="宋体" w:cs="宋体"/>
          <w:szCs w:val="28"/>
        </w:rPr>
        <w:t>500万元。</w:t>
      </w:r>
    </w:p>
    <w:p>
      <w:pPr>
        <w:pStyle w:val="25"/>
        <w:tabs>
          <w:tab w:val="left" w:pos="780"/>
        </w:tabs>
        <w:ind w:firstLine="560" w:firstLineChars="0"/>
        <w:rPr>
          <w:rFonts w:ascii="宋体" w:hAnsi="宋体" w:cs="宋体"/>
          <w:b/>
          <w:bCs/>
          <w:szCs w:val="28"/>
        </w:rPr>
      </w:pPr>
    </w:p>
    <w:p>
      <w:pPr>
        <w:pStyle w:val="25"/>
        <w:tabs>
          <w:tab w:val="left" w:pos="780"/>
        </w:tabs>
        <w:ind w:firstLine="560" w:firstLineChars="0"/>
        <w:rPr>
          <w:rFonts w:ascii="宋体" w:hAnsi="宋体" w:cs="宋体"/>
          <w:szCs w:val="28"/>
        </w:rPr>
      </w:pPr>
      <w:r>
        <w:rPr>
          <w:rFonts w:hint="eastAsia" w:ascii="宋体" w:hAnsi="宋体" w:cs="宋体"/>
          <w:b/>
          <w:bCs/>
          <w:szCs w:val="28"/>
        </w:rPr>
        <w:t>2.标准化食用菌高效栽培示范基地建设项目</w:t>
      </w:r>
    </w:p>
    <w:p>
      <w:pPr>
        <w:pStyle w:val="25"/>
        <w:tabs>
          <w:tab w:val="left" w:pos="780"/>
        </w:tabs>
        <w:ind w:firstLine="560" w:firstLineChars="0"/>
        <w:rPr>
          <w:rFonts w:ascii="宋体" w:hAnsi="宋体" w:cs="宋体"/>
          <w:szCs w:val="28"/>
        </w:rPr>
      </w:pPr>
      <w:r>
        <w:rPr>
          <w:rFonts w:hint="eastAsia" w:ascii="宋体" w:hAnsi="宋体" w:cs="宋体"/>
          <w:b/>
          <w:bCs/>
          <w:szCs w:val="28"/>
        </w:rPr>
        <w:t>建设地点：</w:t>
      </w:r>
      <w:r>
        <w:rPr>
          <w:rFonts w:hint="eastAsia" w:ascii="宋体" w:hAnsi="宋体" w:cs="宋体"/>
          <w:szCs w:val="28"/>
        </w:rPr>
        <w:t>高尚镇、兴安镇、湘漓镇</w:t>
      </w:r>
    </w:p>
    <w:p>
      <w:pPr>
        <w:pStyle w:val="25"/>
        <w:tabs>
          <w:tab w:val="left" w:pos="780"/>
        </w:tabs>
        <w:ind w:firstLine="560" w:firstLineChars="0"/>
        <w:rPr>
          <w:rFonts w:ascii="宋体" w:hAnsi="宋体" w:cs="宋体"/>
          <w:b/>
          <w:bCs/>
          <w:szCs w:val="28"/>
        </w:rPr>
      </w:pPr>
      <w:r>
        <w:rPr>
          <w:rFonts w:hint="eastAsia" w:ascii="宋体" w:hAnsi="宋体" w:cs="宋体"/>
          <w:b/>
          <w:bCs/>
          <w:szCs w:val="28"/>
        </w:rPr>
        <w:t>建设规模：</w:t>
      </w:r>
      <w:r>
        <w:rPr>
          <w:rFonts w:hint="eastAsia" w:ascii="宋体" w:hAnsi="宋体" w:cs="宋体"/>
          <w:szCs w:val="28"/>
        </w:rPr>
        <w:t>5万平方米</w:t>
      </w:r>
    </w:p>
    <w:p>
      <w:pPr>
        <w:pStyle w:val="25"/>
        <w:tabs>
          <w:tab w:val="left" w:pos="780"/>
        </w:tabs>
        <w:ind w:firstLine="560" w:firstLineChars="0"/>
        <w:rPr>
          <w:rFonts w:ascii="宋体" w:hAnsi="宋体" w:cs="宋体"/>
          <w:szCs w:val="28"/>
        </w:rPr>
      </w:pPr>
      <w:r>
        <w:rPr>
          <w:rFonts w:hint="eastAsia" w:ascii="宋体" w:hAnsi="宋体" w:cs="宋体"/>
          <w:b/>
          <w:bCs/>
          <w:szCs w:val="28"/>
        </w:rPr>
        <w:t>建设内容：</w:t>
      </w:r>
      <w:r>
        <w:rPr>
          <w:rFonts w:hint="eastAsia" w:ascii="宋体" w:hAnsi="宋体" w:cs="宋体"/>
          <w:szCs w:val="28"/>
        </w:rPr>
        <w:t>大力扶持食用菌生产家庭农场、专业合作社、中小型生产企业等新型生产经营主体，采取“公司+基地+农户”的模式，推行标准化生产技术，建设一批规模化、标准化食用菌生产基地。</w:t>
      </w:r>
    </w:p>
    <w:p>
      <w:pPr>
        <w:pStyle w:val="25"/>
        <w:tabs>
          <w:tab w:val="left" w:pos="780"/>
        </w:tabs>
        <w:ind w:firstLine="560" w:firstLineChars="0"/>
        <w:rPr>
          <w:rFonts w:ascii="宋体" w:hAnsi="宋体" w:cs="宋体"/>
          <w:szCs w:val="28"/>
        </w:rPr>
      </w:pPr>
      <w:r>
        <w:rPr>
          <w:rFonts w:hint="eastAsia" w:ascii="宋体" w:hAnsi="宋体" w:cs="宋体"/>
          <w:b/>
          <w:bCs/>
          <w:szCs w:val="28"/>
        </w:rPr>
        <w:t>项目投资：</w:t>
      </w:r>
      <w:r>
        <w:rPr>
          <w:rFonts w:hint="eastAsia" w:ascii="宋体" w:hAnsi="宋体" w:cs="宋体"/>
          <w:szCs w:val="28"/>
        </w:rPr>
        <w:t>3000万元。</w:t>
      </w:r>
    </w:p>
    <w:p>
      <w:pPr>
        <w:pStyle w:val="25"/>
        <w:tabs>
          <w:tab w:val="left" w:pos="780"/>
        </w:tabs>
        <w:ind w:firstLine="560" w:firstLineChars="0"/>
        <w:rPr>
          <w:rFonts w:ascii="宋体" w:hAnsi="宋体" w:cs="宋体"/>
          <w:b/>
          <w:bCs/>
          <w:szCs w:val="28"/>
        </w:rPr>
      </w:pPr>
      <w:r>
        <w:rPr>
          <w:rFonts w:hint="eastAsia" w:ascii="宋体" w:hAnsi="宋体" w:cs="宋体"/>
          <w:b/>
          <w:bCs/>
          <w:szCs w:val="28"/>
        </w:rPr>
        <w:t>3.仿生态食用菌生产示范基地</w:t>
      </w:r>
    </w:p>
    <w:p>
      <w:pPr>
        <w:pStyle w:val="25"/>
        <w:tabs>
          <w:tab w:val="left" w:pos="780"/>
        </w:tabs>
        <w:ind w:firstLine="560" w:firstLineChars="0"/>
        <w:rPr>
          <w:rFonts w:ascii="宋体" w:hAnsi="宋体" w:cs="宋体"/>
          <w:b/>
          <w:bCs/>
          <w:szCs w:val="28"/>
        </w:rPr>
      </w:pPr>
      <w:r>
        <w:rPr>
          <w:rFonts w:hint="eastAsia" w:ascii="宋体" w:hAnsi="宋体" w:cs="宋体"/>
          <w:b/>
          <w:bCs/>
          <w:szCs w:val="28"/>
        </w:rPr>
        <w:t>建设地点：</w:t>
      </w:r>
      <w:r>
        <w:rPr>
          <w:rFonts w:hint="eastAsia" w:ascii="宋体" w:hAnsi="宋体" w:cs="宋体"/>
          <w:szCs w:val="28"/>
        </w:rPr>
        <w:t>溶江镇（金石片区）、华江瑶族乡、漠川乡</w:t>
      </w:r>
    </w:p>
    <w:p>
      <w:pPr>
        <w:pStyle w:val="25"/>
        <w:tabs>
          <w:tab w:val="left" w:pos="780"/>
        </w:tabs>
        <w:ind w:firstLine="560" w:firstLineChars="0"/>
        <w:rPr>
          <w:rFonts w:ascii="宋体" w:hAnsi="宋体" w:cs="宋体"/>
          <w:b/>
          <w:bCs/>
          <w:szCs w:val="28"/>
        </w:rPr>
      </w:pPr>
      <w:r>
        <w:rPr>
          <w:rFonts w:hint="eastAsia" w:ascii="宋体" w:hAnsi="宋体" w:cs="宋体"/>
          <w:b/>
          <w:bCs/>
          <w:szCs w:val="28"/>
        </w:rPr>
        <w:t>建设规模：</w:t>
      </w:r>
      <w:r>
        <w:rPr>
          <w:rFonts w:hint="eastAsia" w:ascii="宋体" w:hAnsi="宋体" w:cs="宋体"/>
          <w:szCs w:val="28"/>
        </w:rPr>
        <w:t>1万平方米以上</w:t>
      </w:r>
    </w:p>
    <w:p>
      <w:pPr>
        <w:pStyle w:val="25"/>
        <w:tabs>
          <w:tab w:val="left" w:pos="780"/>
        </w:tabs>
        <w:ind w:firstLine="560" w:firstLineChars="0"/>
        <w:rPr>
          <w:rFonts w:ascii="宋体" w:hAnsi="宋体" w:cs="宋体"/>
          <w:szCs w:val="28"/>
        </w:rPr>
      </w:pPr>
      <w:r>
        <w:rPr>
          <w:rFonts w:hint="eastAsia" w:ascii="宋体" w:hAnsi="宋体" w:cs="宋体"/>
          <w:b/>
          <w:bCs/>
          <w:szCs w:val="28"/>
        </w:rPr>
        <w:t>建设内容：</w:t>
      </w:r>
      <w:r>
        <w:rPr>
          <w:rFonts w:hint="eastAsia" w:ascii="宋体" w:hAnsi="宋体" w:cs="宋体"/>
          <w:szCs w:val="28"/>
        </w:rPr>
        <w:t>在溶江镇（金石片区）、华江瑶族乡、漠川乡等乡镇高山贫困地区，培育发展灵芝、木耳、香菇等特色品种食用菌，建设仿生态食用菌种植示范基地。</w:t>
      </w:r>
    </w:p>
    <w:p>
      <w:pPr>
        <w:pStyle w:val="25"/>
        <w:tabs>
          <w:tab w:val="left" w:pos="780"/>
        </w:tabs>
        <w:ind w:firstLine="560" w:firstLineChars="0"/>
        <w:rPr>
          <w:rFonts w:ascii="宋体" w:hAnsi="宋体" w:cs="宋体"/>
          <w:szCs w:val="28"/>
        </w:rPr>
      </w:pPr>
      <w:r>
        <w:rPr>
          <w:rFonts w:hint="eastAsia" w:ascii="宋体" w:hAnsi="宋体" w:cs="宋体"/>
          <w:b/>
          <w:bCs/>
          <w:szCs w:val="28"/>
        </w:rPr>
        <w:t>项目投资：</w:t>
      </w:r>
      <w:r>
        <w:rPr>
          <w:rFonts w:hint="eastAsia" w:ascii="宋体" w:hAnsi="宋体" w:cs="宋体"/>
          <w:szCs w:val="28"/>
        </w:rPr>
        <w:t>1000万元。</w:t>
      </w:r>
    </w:p>
    <w:p>
      <w:pPr>
        <w:pStyle w:val="25"/>
        <w:tabs>
          <w:tab w:val="left" w:pos="780"/>
        </w:tabs>
        <w:ind w:firstLine="560" w:firstLineChars="0"/>
        <w:rPr>
          <w:rFonts w:ascii="宋体" w:hAnsi="宋体" w:cs="宋体"/>
          <w:szCs w:val="28"/>
        </w:rPr>
      </w:pPr>
    </w:p>
    <w:p>
      <w:pPr>
        <w:pStyle w:val="25"/>
        <w:tabs>
          <w:tab w:val="left" w:pos="780"/>
        </w:tabs>
        <w:ind w:firstLine="560" w:firstLineChars="0"/>
        <w:rPr>
          <w:rFonts w:ascii="宋体" w:hAnsi="宋体" w:cs="宋体"/>
          <w:b/>
          <w:bCs/>
          <w:szCs w:val="28"/>
        </w:rPr>
      </w:pPr>
      <w:r>
        <w:rPr>
          <w:rFonts w:hint="eastAsia" w:ascii="宋体" w:hAnsi="宋体" w:cs="宋体"/>
          <w:b/>
          <w:bCs/>
          <w:szCs w:val="28"/>
        </w:rPr>
        <w:t>4.立体循环食用菌生产示范基地建设项目</w:t>
      </w:r>
    </w:p>
    <w:p>
      <w:pPr>
        <w:pStyle w:val="25"/>
        <w:tabs>
          <w:tab w:val="left" w:pos="780"/>
        </w:tabs>
        <w:ind w:firstLine="560" w:firstLineChars="0"/>
        <w:rPr>
          <w:rFonts w:ascii="宋体" w:hAnsi="宋体" w:cs="宋体"/>
          <w:b/>
          <w:bCs/>
          <w:szCs w:val="28"/>
        </w:rPr>
      </w:pPr>
      <w:r>
        <w:rPr>
          <w:rFonts w:hint="eastAsia" w:ascii="宋体" w:hAnsi="宋体" w:cs="宋体"/>
          <w:b/>
          <w:bCs/>
          <w:szCs w:val="28"/>
        </w:rPr>
        <w:t>建设地点：</w:t>
      </w:r>
      <w:r>
        <w:rPr>
          <w:rFonts w:hint="eastAsia" w:ascii="宋体" w:hAnsi="宋体" w:cs="宋体"/>
          <w:szCs w:val="28"/>
        </w:rPr>
        <w:t>高尚镇、崔家乡</w:t>
      </w:r>
    </w:p>
    <w:p>
      <w:pPr>
        <w:pStyle w:val="25"/>
        <w:tabs>
          <w:tab w:val="left" w:pos="780"/>
        </w:tabs>
        <w:ind w:firstLine="560" w:firstLineChars="0"/>
        <w:rPr>
          <w:rFonts w:ascii="宋体" w:hAnsi="宋体" w:cs="宋体"/>
          <w:b/>
          <w:bCs/>
          <w:szCs w:val="28"/>
        </w:rPr>
      </w:pPr>
      <w:r>
        <w:rPr>
          <w:rFonts w:hint="eastAsia" w:ascii="宋体" w:hAnsi="宋体" w:cs="宋体"/>
          <w:b/>
          <w:bCs/>
          <w:szCs w:val="28"/>
        </w:rPr>
        <w:t>建设规模：</w:t>
      </w:r>
      <w:r>
        <w:rPr>
          <w:rFonts w:hint="eastAsia" w:ascii="宋体" w:hAnsi="宋体" w:cs="宋体"/>
          <w:szCs w:val="28"/>
        </w:rPr>
        <w:t>1万平方米以上</w:t>
      </w:r>
    </w:p>
    <w:p>
      <w:pPr>
        <w:pStyle w:val="25"/>
        <w:tabs>
          <w:tab w:val="left" w:pos="780"/>
        </w:tabs>
        <w:ind w:firstLine="562"/>
        <w:rPr>
          <w:rFonts w:ascii="宋体" w:hAnsi="宋体" w:cs="宋体"/>
          <w:szCs w:val="28"/>
        </w:rPr>
      </w:pPr>
      <w:r>
        <w:rPr>
          <w:rFonts w:hint="eastAsia" w:ascii="宋体" w:hAnsi="宋体" w:cs="宋体"/>
          <w:b/>
          <w:bCs/>
          <w:szCs w:val="28"/>
        </w:rPr>
        <w:t>建设内容：</w:t>
      </w:r>
      <w:r>
        <w:rPr>
          <w:rFonts w:hint="eastAsia" w:ascii="宋体" w:hAnsi="宋体" w:cs="宋体"/>
          <w:szCs w:val="28"/>
        </w:rPr>
        <w:t>大力推广以畜禽粪便综合利用为核心的“甜玉米—养牛—食用菌”的立体循环食用菌生产，建设立体循环食用菌生产示范基地。</w:t>
      </w:r>
    </w:p>
    <w:p>
      <w:pPr>
        <w:pStyle w:val="25"/>
        <w:tabs>
          <w:tab w:val="left" w:pos="780"/>
        </w:tabs>
        <w:ind w:firstLine="560" w:firstLineChars="0"/>
        <w:rPr>
          <w:rFonts w:ascii="宋体" w:hAnsi="宋体" w:cs="宋体"/>
          <w:bCs/>
          <w:szCs w:val="28"/>
        </w:rPr>
      </w:pPr>
      <w:r>
        <w:rPr>
          <w:rFonts w:hint="eastAsia" w:ascii="宋体" w:hAnsi="宋体" w:cs="宋体"/>
          <w:b/>
          <w:bCs/>
          <w:szCs w:val="28"/>
        </w:rPr>
        <w:t>项目投资：</w:t>
      </w:r>
      <w:r>
        <w:rPr>
          <w:rFonts w:hint="eastAsia" w:ascii="宋体" w:hAnsi="宋体" w:cs="宋体"/>
          <w:bCs/>
          <w:szCs w:val="28"/>
        </w:rPr>
        <w:t>800万元。</w:t>
      </w:r>
      <w:r>
        <w:rPr>
          <w:rFonts w:ascii="宋体" w:hAnsi="宋体" w:cs="宋体"/>
          <w:bCs/>
          <w:szCs w:val="28"/>
        </w:rPr>
        <w:br w:type="page"/>
      </w:r>
    </w:p>
    <w:p>
      <w:pPr>
        <w:pStyle w:val="2"/>
        <w:rPr>
          <w:rFonts w:ascii="宋体" w:hAnsi="宋体" w:cs="宋体"/>
          <w:szCs w:val="36"/>
        </w:rPr>
      </w:pPr>
      <w:r>
        <w:fldChar w:fldCharType="begin"/>
      </w:r>
      <w:r>
        <w:instrText xml:space="preserve"> HYPERLINK \l "_Toc529132044" </w:instrText>
      </w:r>
      <w:r>
        <w:fldChar w:fldCharType="separate"/>
      </w:r>
      <w:bookmarkStart w:id="114" w:name="_Toc21594861"/>
      <w:r>
        <w:rPr>
          <w:rFonts w:hint="eastAsia"/>
        </w:rPr>
        <w:t xml:space="preserve">第八章 </w:t>
      </w:r>
      <w:r>
        <w:rPr>
          <w:rFonts w:hint="eastAsia"/>
        </w:rPr>
        <w:fldChar w:fldCharType="end"/>
      </w:r>
      <w:r>
        <w:rPr>
          <w:rFonts w:hint="eastAsia"/>
        </w:rPr>
        <w:t>产业配套重点项目建设</w:t>
      </w:r>
      <w:bookmarkEnd w:id="114"/>
    </w:p>
    <w:p>
      <w:pPr>
        <w:pStyle w:val="3"/>
        <w:ind w:firstLine="643"/>
      </w:pPr>
      <w:r>
        <w:fldChar w:fldCharType="begin"/>
      </w:r>
      <w:r>
        <w:instrText xml:space="preserve"> HYPERLINK \l "_Toc529132046" </w:instrText>
      </w:r>
      <w:r>
        <w:fldChar w:fldCharType="separate"/>
      </w:r>
      <w:bookmarkStart w:id="115" w:name="_Toc21594862"/>
      <w:r>
        <w:rPr>
          <w:rFonts w:hint="eastAsia"/>
        </w:rPr>
        <w:t>一、加工贸易基地建设</w:t>
      </w:r>
      <w:bookmarkEnd w:id="115"/>
      <w:r>
        <w:rPr>
          <w:rFonts w:hint="eastAsia"/>
        </w:rPr>
        <w:fldChar w:fldCharType="end"/>
      </w:r>
    </w:p>
    <w:p>
      <w:pPr>
        <w:pStyle w:val="4"/>
        <w:spacing w:before="156" w:after="156"/>
        <w:ind w:firstLine="452"/>
      </w:pPr>
      <w:r>
        <w:rPr>
          <w:rFonts w:hint="eastAsia"/>
        </w:rPr>
        <w:t>（一）功能目标</w:t>
      </w:r>
    </w:p>
    <w:p>
      <w:pPr>
        <w:spacing w:line="360" w:lineRule="auto"/>
        <w:ind w:firstLine="560"/>
        <w:rPr>
          <w:rFonts w:ascii="宋体" w:hAnsi="宋体" w:cs="宋体"/>
          <w:szCs w:val="28"/>
        </w:rPr>
      </w:pPr>
      <w:r>
        <w:rPr>
          <w:rFonts w:hint="eastAsia" w:ascii="宋体" w:hAnsi="宋体" w:cs="宋体"/>
          <w:szCs w:val="28"/>
        </w:rPr>
        <w:t>提升兴安县现代特色农业产业链，补足加工、展销和物流短板，围绕兴安特色优势农业产业创建集标准化原料基地、集约化加工园区、体系化物流配送的农村一二三产业融合先导区，壮大农产品加工集群的产业功能。建设农产品流通大平台，统筹区域重要农产品流通基础设施布局、功能定位等，畅通农产品流通渠道，提升高效物流配送体系、终端销售模式、农产品电商等。</w:t>
      </w:r>
    </w:p>
    <w:p>
      <w:pPr>
        <w:pStyle w:val="4"/>
        <w:spacing w:before="156" w:after="156"/>
        <w:ind w:firstLine="452"/>
      </w:pPr>
      <w:bookmarkStart w:id="116" w:name="_Toc482643442"/>
      <w:r>
        <w:rPr>
          <w:rFonts w:hint="eastAsia"/>
        </w:rPr>
        <w:t>（二）建设任务</w:t>
      </w:r>
      <w:bookmarkEnd w:id="116"/>
    </w:p>
    <w:p>
      <w:pPr>
        <w:spacing w:line="360" w:lineRule="auto"/>
        <w:ind w:firstLine="560"/>
        <w:rPr>
          <w:rFonts w:ascii="宋体" w:hAnsi="宋体" w:cs="宋体"/>
          <w:szCs w:val="28"/>
        </w:rPr>
      </w:pPr>
      <w:r>
        <w:rPr>
          <w:rFonts w:hint="eastAsia" w:ascii="宋体" w:hAnsi="宋体" w:cs="宋体"/>
          <w:szCs w:val="28"/>
        </w:rPr>
        <w:t>建设一个大型的兴安县现代特色农产品加工产业园，将其打造为全县特色农业产品加工、展销、技术展示、生态特色技术模式展览的窗口；扩改建一个综合性农产品交易中心，加快贮藏设备、冷链物流等建设，打造高端配送、农超对接、农企对接、农产品拍卖等交易平台；升级改造一批农产品产地专业批发市场，提升展示交易、冷藏仓储和保鲜农产品冷链设施等。</w:t>
      </w:r>
    </w:p>
    <w:p>
      <w:pPr>
        <w:pStyle w:val="4"/>
        <w:spacing w:before="156" w:after="156"/>
        <w:ind w:firstLine="452"/>
      </w:pPr>
      <w:bookmarkStart w:id="117" w:name="_Toc482643443"/>
      <w:r>
        <w:rPr>
          <w:rFonts w:hint="eastAsia"/>
        </w:rPr>
        <w:t>（三）重点建设项目</w:t>
      </w:r>
      <w:bookmarkEnd w:id="117"/>
    </w:p>
    <w:p>
      <w:pPr>
        <w:spacing w:line="360" w:lineRule="auto"/>
        <w:ind w:firstLine="562"/>
        <w:rPr>
          <w:rFonts w:ascii="宋体" w:hAnsi="宋体" w:cs="宋体"/>
          <w:szCs w:val="28"/>
        </w:rPr>
      </w:pPr>
      <w:r>
        <w:rPr>
          <w:rFonts w:hint="eastAsia" w:ascii="宋体" w:hAnsi="宋体" w:cs="宋体"/>
          <w:b/>
          <w:bCs/>
          <w:szCs w:val="28"/>
        </w:rPr>
        <w:t>1.兴安县现代特色农产品加工产业园。</w:t>
      </w:r>
      <w:r>
        <w:rPr>
          <w:rFonts w:hint="eastAsia" w:ascii="宋体" w:hAnsi="宋体" w:cs="宋体"/>
          <w:szCs w:val="28"/>
        </w:rPr>
        <w:t>通过整体规划设计在兴安镇打造一个综合型农产品加工展销中心，吸引</w:t>
      </w:r>
      <w:r>
        <w:rPr>
          <w:rStyle w:val="20"/>
          <w:rFonts w:hint="eastAsia" w:ascii="宋体" w:hAnsi="宋体" w:cs="宋体"/>
          <w:color w:val="auto"/>
          <w:szCs w:val="28"/>
          <w:u w:val="none"/>
        </w:rPr>
        <w:t>葡萄、银杏、甜玉米、柑桔、食用菌</w:t>
      </w:r>
      <w:r>
        <w:rPr>
          <w:rFonts w:hint="eastAsia" w:ascii="宋体" w:hAnsi="宋体" w:cs="宋体"/>
          <w:szCs w:val="28"/>
        </w:rPr>
        <w:t>等产业的加工型龙头企业入驻，同时依托中心打造一个特色农产品展示平台，配合旅游项目，实现特色农产品加工、物流配送、展示交易、消费体验与一体化的大型农产品加工产业园区。</w:t>
      </w:r>
    </w:p>
    <w:p>
      <w:pPr>
        <w:spacing w:line="360" w:lineRule="auto"/>
        <w:ind w:firstLine="562"/>
        <w:rPr>
          <w:rFonts w:ascii="宋体" w:hAnsi="宋体" w:cs="宋体"/>
          <w:b/>
          <w:bCs/>
          <w:szCs w:val="28"/>
        </w:rPr>
      </w:pPr>
    </w:p>
    <w:p>
      <w:pPr>
        <w:spacing w:line="360" w:lineRule="auto"/>
        <w:ind w:firstLine="562"/>
        <w:rPr>
          <w:rFonts w:ascii="宋体" w:hAnsi="宋体" w:cs="宋体"/>
          <w:b/>
          <w:bCs/>
          <w:szCs w:val="28"/>
        </w:rPr>
      </w:pPr>
      <w:r>
        <w:rPr>
          <w:rFonts w:hint="eastAsia" w:ascii="宋体" w:hAnsi="宋体" w:cs="宋体"/>
          <w:b/>
          <w:bCs/>
          <w:szCs w:val="28"/>
        </w:rPr>
        <w:t>2.桂北农产品综合交易中心。</w:t>
      </w:r>
      <w:r>
        <w:rPr>
          <w:rFonts w:hint="eastAsia" w:ascii="宋体" w:hAnsi="宋体" w:cs="宋体"/>
          <w:szCs w:val="28"/>
        </w:rPr>
        <w:t>在界首镇桂北建设一个集批发交易、加工配送、仓储、物流运输、电子商务、品牌培育为一体的农产品供应链综合服务交易中心。</w:t>
      </w:r>
    </w:p>
    <w:p>
      <w:pPr>
        <w:ind w:firstLine="562"/>
        <w:rPr>
          <w:rFonts w:ascii="宋体" w:hAnsi="宋体" w:cs="宋体"/>
          <w:szCs w:val="28"/>
        </w:rPr>
      </w:pPr>
      <w:r>
        <w:rPr>
          <w:rFonts w:hint="eastAsia" w:ascii="宋体" w:hAnsi="宋体" w:cs="宋体"/>
          <w:b/>
          <w:szCs w:val="28"/>
        </w:rPr>
        <w:t>3.特色农产品产地专业批发市场升级改造项目。</w:t>
      </w:r>
      <w:r>
        <w:rPr>
          <w:rFonts w:hint="eastAsia" w:ascii="宋体" w:hAnsi="宋体" w:cs="宋体"/>
          <w:szCs w:val="28"/>
        </w:rPr>
        <w:t>围绕</w:t>
      </w:r>
      <w:r>
        <w:rPr>
          <w:rStyle w:val="20"/>
          <w:rFonts w:hint="eastAsia" w:ascii="宋体" w:hAnsi="宋体" w:cs="宋体"/>
          <w:color w:val="auto"/>
          <w:szCs w:val="28"/>
          <w:u w:val="none"/>
        </w:rPr>
        <w:t>葡萄、银杏、甜玉米、柑桔、食用菌</w:t>
      </w:r>
      <w:r>
        <w:rPr>
          <w:rFonts w:hint="eastAsia" w:ascii="宋体" w:hAnsi="宋体" w:cs="宋体"/>
          <w:szCs w:val="28"/>
        </w:rPr>
        <w:t>等大宗产业在界首镇、界首镇、高尚镇等建设3-5个辐射带动力强的产地专业批发市场，推动连锁经营、直销配送和网上购物等经营方式创新。配合当地旅游资源，开展旅游节庆会展活动，提升兴安特色农产品市场知名度。</w:t>
      </w:r>
    </w:p>
    <w:p>
      <w:pPr>
        <w:spacing w:line="360" w:lineRule="auto"/>
        <w:ind w:right="45" w:rightChars="16" w:firstLine="0" w:firstLineChars="0"/>
        <w:rPr>
          <w:rFonts w:ascii="宋体" w:hAnsi="宋体" w:cs="宋体"/>
          <w:szCs w:val="28"/>
        </w:rPr>
      </w:pPr>
      <w:r>
        <w:rPr>
          <w:rFonts w:hint="eastAsia" w:ascii="宋体" w:hAnsi="宋体" w:cs="宋体"/>
          <w:szCs w:val="28"/>
        </w:rPr>
        <w:t>具体重点建设项目与投资估算如下表8-1所示：</w:t>
      </w:r>
    </w:p>
    <w:p>
      <w:pPr>
        <w:spacing w:before="156" w:beforeLines="50" w:after="156" w:afterLines="50"/>
        <w:ind w:firstLine="482"/>
        <w:jc w:val="center"/>
        <w:rPr>
          <w:rFonts w:ascii="宋体" w:hAnsi="宋体" w:cs="宋体"/>
          <w:szCs w:val="28"/>
        </w:rPr>
      </w:pPr>
      <w:r>
        <w:rPr>
          <w:rFonts w:hint="eastAsia" w:ascii="宋体" w:hAnsi="宋体" w:cs="宋体"/>
          <w:b/>
          <w:sz w:val="24"/>
        </w:rPr>
        <w:t>表8-1  加工贸易基地建设重点项目表</w:t>
      </w:r>
    </w:p>
    <w:tbl>
      <w:tblPr>
        <w:tblStyle w:val="15"/>
        <w:tblW w:w="9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5"/>
        <w:gridCol w:w="4232"/>
        <w:gridCol w:w="952"/>
        <w:gridCol w:w="588"/>
        <w:gridCol w:w="1010"/>
        <w:gridCol w:w="1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exact"/>
          <w:tblHeader/>
          <w:jc w:val="center"/>
        </w:trPr>
        <w:tc>
          <w:tcPr>
            <w:tcW w:w="1575" w:type="dxa"/>
            <w:vAlign w:val="center"/>
          </w:tcPr>
          <w:p>
            <w:pPr>
              <w:widowControl/>
              <w:ind w:right="-358" w:rightChars="-128" w:firstLine="310" w:firstLineChars="147"/>
              <w:rPr>
                <w:rFonts w:ascii="宋体" w:hAnsi="宋体" w:cs="宋体"/>
                <w:b/>
                <w:bCs/>
                <w:kern w:val="0"/>
                <w:sz w:val="21"/>
                <w:szCs w:val="21"/>
              </w:rPr>
            </w:pPr>
            <w:r>
              <w:rPr>
                <w:rFonts w:hint="eastAsia" w:ascii="宋体" w:hAnsi="宋体" w:cs="宋体"/>
                <w:b/>
                <w:bCs/>
                <w:kern w:val="0"/>
                <w:sz w:val="21"/>
                <w:szCs w:val="21"/>
              </w:rPr>
              <w:t>项目名称</w:t>
            </w:r>
          </w:p>
        </w:tc>
        <w:tc>
          <w:tcPr>
            <w:tcW w:w="4232" w:type="dxa"/>
            <w:vAlign w:val="center"/>
          </w:tcPr>
          <w:p>
            <w:pPr>
              <w:widowControl/>
              <w:ind w:firstLine="422"/>
              <w:jc w:val="center"/>
              <w:rPr>
                <w:rFonts w:ascii="宋体" w:hAnsi="宋体" w:cs="宋体"/>
                <w:b/>
                <w:bCs/>
                <w:kern w:val="0"/>
                <w:sz w:val="21"/>
                <w:szCs w:val="21"/>
              </w:rPr>
            </w:pPr>
            <w:r>
              <w:rPr>
                <w:rFonts w:hint="eastAsia" w:ascii="宋体" w:hAnsi="宋体" w:cs="宋体"/>
                <w:b/>
                <w:bCs/>
                <w:kern w:val="0"/>
                <w:sz w:val="21"/>
                <w:szCs w:val="21"/>
              </w:rPr>
              <w:t>建设内容</w:t>
            </w:r>
          </w:p>
        </w:tc>
        <w:tc>
          <w:tcPr>
            <w:tcW w:w="952" w:type="dxa"/>
            <w:vAlign w:val="center"/>
          </w:tcPr>
          <w:p>
            <w:pPr>
              <w:widowControl/>
              <w:ind w:firstLine="0" w:firstLineChars="0"/>
              <w:rPr>
                <w:rFonts w:ascii="宋体" w:hAnsi="宋体" w:cs="宋体"/>
                <w:b/>
                <w:bCs/>
                <w:kern w:val="0"/>
                <w:sz w:val="21"/>
                <w:szCs w:val="21"/>
              </w:rPr>
            </w:pPr>
            <w:r>
              <w:rPr>
                <w:rFonts w:hint="eastAsia" w:ascii="宋体" w:hAnsi="宋体" w:cs="宋体"/>
                <w:b/>
                <w:bCs/>
                <w:kern w:val="0"/>
                <w:sz w:val="21"/>
                <w:szCs w:val="21"/>
              </w:rPr>
              <w:t>工程量</w:t>
            </w:r>
          </w:p>
        </w:tc>
        <w:tc>
          <w:tcPr>
            <w:tcW w:w="588" w:type="dxa"/>
            <w:vAlign w:val="center"/>
          </w:tcPr>
          <w:p>
            <w:pPr>
              <w:widowControl/>
              <w:ind w:firstLine="0" w:firstLineChars="0"/>
              <w:rPr>
                <w:rFonts w:ascii="宋体" w:hAnsi="宋体" w:cs="宋体"/>
                <w:b/>
                <w:bCs/>
                <w:kern w:val="0"/>
                <w:sz w:val="21"/>
                <w:szCs w:val="21"/>
              </w:rPr>
            </w:pPr>
            <w:r>
              <w:rPr>
                <w:rFonts w:hint="eastAsia" w:ascii="宋体" w:hAnsi="宋体" w:cs="宋体"/>
                <w:b/>
                <w:bCs/>
                <w:kern w:val="0"/>
                <w:sz w:val="21"/>
                <w:szCs w:val="21"/>
              </w:rPr>
              <w:t>单位</w:t>
            </w:r>
          </w:p>
        </w:tc>
        <w:tc>
          <w:tcPr>
            <w:tcW w:w="1010" w:type="dxa"/>
            <w:vAlign w:val="center"/>
          </w:tcPr>
          <w:p>
            <w:pPr>
              <w:widowControl/>
              <w:ind w:firstLine="0" w:firstLineChars="0"/>
              <w:rPr>
                <w:rFonts w:ascii="宋体" w:hAnsi="宋体" w:cs="宋体"/>
                <w:b/>
                <w:bCs/>
                <w:kern w:val="0"/>
                <w:sz w:val="21"/>
                <w:szCs w:val="21"/>
              </w:rPr>
            </w:pPr>
            <w:r>
              <w:rPr>
                <w:rFonts w:hint="eastAsia" w:ascii="宋体" w:hAnsi="宋体" w:cs="宋体"/>
                <w:b/>
                <w:bCs/>
                <w:kern w:val="0"/>
                <w:sz w:val="21"/>
                <w:szCs w:val="21"/>
              </w:rPr>
              <w:t>总投入（万元）</w:t>
            </w:r>
          </w:p>
        </w:tc>
        <w:tc>
          <w:tcPr>
            <w:tcW w:w="1222" w:type="dxa"/>
            <w:vAlign w:val="center"/>
          </w:tcPr>
          <w:p>
            <w:pPr>
              <w:widowControl/>
              <w:ind w:firstLine="0" w:firstLineChars="0"/>
              <w:rPr>
                <w:rFonts w:ascii="宋体" w:hAnsi="宋体" w:cs="宋体"/>
                <w:b/>
                <w:bCs/>
                <w:kern w:val="0"/>
                <w:sz w:val="21"/>
                <w:szCs w:val="21"/>
              </w:rPr>
            </w:pPr>
            <w:r>
              <w:rPr>
                <w:rFonts w:hint="eastAsia" w:ascii="宋体" w:hAnsi="宋体" w:cs="宋体"/>
                <w:b/>
                <w:bCs/>
                <w:kern w:val="0"/>
                <w:sz w:val="21"/>
                <w:szCs w:val="21"/>
              </w:rPr>
              <w:t>建设时间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1" w:hRule="exact"/>
          <w:jc w:val="center"/>
        </w:trPr>
        <w:tc>
          <w:tcPr>
            <w:tcW w:w="1575" w:type="dxa"/>
            <w:vAlign w:val="center"/>
          </w:tcPr>
          <w:p>
            <w:pPr>
              <w:ind w:firstLine="0" w:firstLineChars="0"/>
              <w:rPr>
                <w:rFonts w:ascii="宋体" w:hAnsi="宋体" w:cs="宋体"/>
                <w:bCs/>
                <w:kern w:val="0"/>
                <w:sz w:val="21"/>
                <w:szCs w:val="21"/>
              </w:rPr>
            </w:pPr>
            <w:r>
              <w:rPr>
                <w:rFonts w:hint="eastAsia" w:ascii="宋体" w:hAnsi="宋体" w:cs="宋体"/>
                <w:bCs/>
                <w:kern w:val="0"/>
                <w:sz w:val="21"/>
                <w:szCs w:val="21"/>
              </w:rPr>
              <w:t>兴安县现代特色农产品加工产业园</w:t>
            </w:r>
          </w:p>
        </w:tc>
        <w:tc>
          <w:tcPr>
            <w:tcW w:w="4232" w:type="dxa"/>
            <w:vAlign w:val="center"/>
          </w:tcPr>
          <w:p>
            <w:pPr>
              <w:ind w:firstLine="0" w:firstLineChars="0"/>
              <w:rPr>
                <w:rFonts w:ascii="宋体" w:hAnsi="宋体" w:cs="宋体"/>
                <w:kern w:val="0"/>
                <w:sz w:val="21"/>
                <w:szCs w:val="21"/>
              </w:rPr>
            </w:pPr>
            <w:r>
              <w:rPr>
                <w:rFonts w:hint="eastAsia" w:ascii="宋体" w:hAnsi="宋体" w:cs="宋体"/>
                <w:kern w:val="0"/>
                <w:sz w:val="21"/>
                <w:szCs w:val="21"/>
              </w:rPr>
              <w:t>打造一个综合型农产品加工物流中心、依托中心建设特色农产品展示平台，配合旅游项目，实现特色农产品加工、物流配送、展示交易、消费体验与一体化的大型农产品加工产业园区。</w:t>
            </w:r>
          </w:p>
        </w:tc>
        <w:tc>
          <w:tcPr>
            <w:tcW w:w="952" w:type="dxa"/>
            <w:vAlign w:val="center"/>
          </w:tcPr>
          <w:p>
            <w:pPr>
              <w:ind w:firstLine="0" w:firstLineChars="0"/>
              <w:jc w:val="center"/>
              <w:rPr>
                <w:rFonts w:ascii="宋体" w:hAnsi="宋体" w:cs="宋体"/>
                <w:kern w:val="0"/>
                <w:sz w:val="21"/>
                <w:szCs w:val="21"/>
              </w:rPr>
            </w:pPr>
            <w:r>
              <w:rPr>
                <w:rFonts w:hint="eastAsia" w:ascii="宋体" w:hAnsi="宋体" w:cs="宋体"/>
                <w:kern w:val="0"/>
                <w:sz w:val="21"/>
                <w:szCs w:val="21"/>
              </w:rPr>
              <w:t>1</w:t>
            </w:r>
          </w:p>
        </w:tc>
        <w:tc>
          <w:tcPr>
            <w:tcW w:w="588" w:type="dxa"/>
            <w:vAlign w:val="center"/>
          </w:tcPr>
          <w:p>
            <w:pPr>
              <w:ind w:firstLine="0" w:firstLineChars="0"/>
              <w:jc w:val="center"/>
              <w:rPr>
                <w:rFonts w:ascii="宋体" w:hAnsi="宋体" w:cs="宋体"/>
                <w:sz w:val="21"/>
                <w:szCs w:val="21"/>
              </w:rPr>
            </w:pPr>
            <w:r>
              <w:rPr>
                <w:rFonts w:hint="eastAsia" w:ascii="宋体" w:hAnsi="宋体" w:cs="宋体"/>
                <w:sz w:val="21"/>
                <w:szCs w:val="21"/>
              </w:rPr>
              <w:t>项</w:t>
            </w:r>
          </w:p>
        </w:tc>
        <w:tc>
          <w:tcPr>
            <w:tcW w:w="1010" w:type="dxa"/>
            <w:vAlign w:val="center"/>
          </w:tcPr>
          <w:p>
            <w:pPr>
              <w:ind w:firstLine="0" w:firstLineChars="0"/>
              <w:jc w:val="center"/>
              <w:rPr>
                <w:rFonts w:ascii="宋体" w:hAnsi="宋体" w:cs="宋体"/>
                <w:kern w:val="0"/>
                <w:sz w:val="21"/>
                <w:szCs w:val="21"/>
              </w:rPr>
            </w:pPr>
            <w:r>
              <w:rPr>
                <w:rFonts w:hint="eastAsia" w:ascii="宋体" w:hAnsi="宋体" w:cs="宋体"/>
                <w:kern w:val="0"/>
                <w:sz w:val="21"/>
                <w:szCs w:val="21"/>
              </w:rPr>
              <w:t>30000</w:t>
            </w:r>
          </w:p>
        </w:tc>
        <w:tc>
          <w:tcPr>
            <w:tcW w:w="1222" w:type="dxa"/>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2019-2022年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exact"/>
          <w:jc w:val="center"/>
        </w:trPr>
        <w:tc>
          <w:tcPr>
            <w:tcW w:w="1575" w:type="dxa"/>
            <w:vAlign w:val="center"/>
          </w:tcPr>
          <w:p>
            <w:pPr>
              <w:ind w:firstLine="0" w:firstLineChars="0"/>
              <w:rPr>
                <w:rFonts w:ascii="宋体" w:hAnsi="宋体" w:cs="宋体"/>
                <w:bCs/>
                <w:kern w:val="0"/>
                <w:sz w:val="21"/>
                <w:szCs w:val="21"/>
              </w:rPr>
            </w:pPr>
            <w:r>
              <w:rPr>
                <w:rFonts w:hint="eastAsia" w:ascii="宋体" w:hAnsi="宋体" w:cs="宋体"/>
                <w:bCs/>
                <w:kern w:val="0"/>
                <w:sz w:val="21"/>
                <w:szCs w:val="21"/>
              </w:rPr>
              <w:t>桂北农产品综合交易中心</w:t>
            </w:r>
          </w:p>
        </w:tc>
        <w:tc>
          <w:tcPr>
            <w:tcW w:w="4232" w:type="dxa"/>
            <w:vAlign w:val="center"/>
          </w:tcPr>
          <w:p>
            <w:pPr>
              <w:ind w:firstLine="0" w:firstLineChars="0"/>
              <w:rPr>
                <w:rFonts w:ascii="宋体" w:hAnsi="宋体" w:cs="宋体"/>
                <w:kern w:val="0"/>
                <w:sz w:val="21"/>
                <w:szCs w:val="21"/>
              </w:rPr>
            </w:pPr>
            <w:r>
              <w:rPr>
                <w:rFonts w:hint="eastAsia" w:ascii="宋体" w:hAnsi="宋体" w:cs="宋体"/>
                <w:kern w:val="0"/>
                <w:sz w:val="21"/>
                <w:szCs w:val="21"/>
              </w:rPr>
              <w:t>建设一个集批发交易、加工配送、仓储、物流运输、电子商务、品牌培育为一体的农产品供应链综合服务平台</w:t>
            </w:r>
          </w:p>
        </w:tc>
        <w:tc>
          <w:tcPr>
            <w:tcW w:w="952" w:type="dxa"/>
            <w:vAlign w:val="center"/>
          </w:tcPr>
          <w:p>
            <w:pPr>
              <w:ind w:firstLine="0" w:firstLineChars="0"/>
              <w:jc w:val="center"/>
              <w:rPr>
                <w:rFonts w:ascii="宋体" w:hAnsi="宋体" w:cs="宋体"/>
                <w:kern w:val="0"/>
                <w:sz w:val="21"/>
                <w:szCs w:val="21"/>
              </w:rPr>
            </w:pPr>
            <w:r>
              <w:rPr>
                <w:rFonts w:hint="eastAsia" w:ascii="宋体" w:hAnsi="宋体" w:cs="宋体"/>
                <w:kern w:val="0"/>
                <w:sz w:val="21"/>
                <w:szCs w:val="21"/>
              </w:rPr>
              <w:t>1</w:t>
            </w:r>
          </w:p>
        </w:tc>
        <w:tc>
          <w:tcPr>
            <w:tcW w:w="588" w:type="dxa"/>
            <w:vAlign w:val="center"/>
          </w:tcPr>
          <w:p>
            <w:pPr>
              <w:ind w:firstLine="0" w:firstLineChars="0"/>
              <w:jc w:val="center"/>
              <w:rPr>
                <w:rFonts w:ascii="宋体" w:hAnsi="宋体" w:cs="宋体"/>
                <w:sz w:val="21"/>
                <w:szCs w:val="21"/>
              </w:rPr>
            </w:pPr>
            <w:r>
              <w:rPr>
                <w:rFonts w:hint="eastAsia" w:ascii="宋体" w:hAnsi="宋体" w:cs="宋体"/>
                <w:sz w:val="21"/>
                <w:szCs w:val="21"/>
              </w:rPr>
              <w:t>项</w:t>
            </w:r>
          </w:p>
        </w:tc>
        <w:tc>
          <w:tcPr>
            <w:tcW w:w="1010" w:type="dxa"/>
            <w:vAlign w:val="center"/>
          </w:tcPr>
          <w:p>
            <w:pPr>
              <w:ind w:firstLine="0" w:firstLineChars="0"/>
              <w:jc w:val="center"/>
              <w:rPr>
                <w:rFonts w:ascii="宋体" w:hAnsi="宋体" w:cs="宋体"/>
                <w:kern w:val="0"/>
                <w:sz w:val="21"/>
                <w:szCs w:val="21"/>
              </w:rPr>
            </w:pPr>
            <w:r>
              <w:rPr>
                <w:rFonts w:hint="eastAsia" w:ascii="宋体" w:hAnsi="宋体" w:cs="宋体"/>
                <w:kern w:val="0"/>
                <w:sz w:val="21"/>
                <w:szCs w:val="21"/>
              </w:rPr>
              <w:t>1500</w:t>
            </w:r>
          </w:p>
        </w:tc>
        <w:tc>
          <w:tcPr>
            <w:tcW w:w="1222" w:type="dxa"/>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2019-2022年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exact"/>
          <w:jc w:val="center"/>
        </w:trPr>
        <w:tc>
          <w:tcPr>
            <w:tcW w:w="1575" w:type="dxa"/>
            <w:vAlign w:val="center"/>
          </w:tcPr>
          <w:p>
            <w:pPr>
              <w:ind w:firstLine="0" w:firstLineChars="0"/>
              <w:rPr>
                <w:rFonts w:ascii="宋体" w:hAnsi="宋体" w:cs="宋体"/>
                <w:bCs/>
                <w:kern w:val="0"/>
                <w:sz w:val="21"/>
                <w:szCs w:val="21"/>
              </w:rPr>
            </w:pPr>
            <w:r>
              <w:rPr>
                <w:rFonts w:hint="eastAsia" w:ascii="宋体" w:hAnsi="宋体" w:cs="宋体"/>
                <w:bCs/>
                <w:kern w:val="0"/>
                <w:sz w:val="21"/>
                <w:szCs w:val="21"/>
              </w:rPr>
              <w:t>特色农产品产地专业市场升级改造项目</w:t>
            </w:r>
          </w:p>
        </w:tc>
        <w:tc>
          <w:tcPr>
            <w:tcW w:w="4232" w:type="dxa"/>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建设或升级3-5个辐射带动力强的产地专业批发市场，配合当地旅游资源，开展旅游节庆会展活动</w:t>
            </w:r>
          </w:p>
        </w:tc>
        <w:tc>
          <w:tcPr>
            <w:tcW w:w="952" w:type="dxa"/>
            <w:vAlign w:val="center"/>
          </w:tcPr>
          <w:p>
            <w:pPr>
              <w:ind w:firstLine="0" w:firstLineChars="0"/>
              <w:jc w:val="center"/>
              <w:rPr>
                <w:rFonts w:ascii="宋体" w:hAnsi="宋体" w:cs="宋体"/>
                <w:kern w:val="0"/>
                <w:sz w:val="21"/>
                <w:szCs w:val="21"/>
              </w:rPr>
            </w:pPr>
            <w:r>
              <w:rPr>
                <w:rFonts w:hint="eastAsia" w:ascii="宋体" w:hAnsi="宋体" w:cs="宋体"/>
                <w:kern w:val="0"/>
                <w:sz w:val="21"/>
                <w:szCs w:val="21"/>
              </w:rPr>
              <w:t>1</w:t>
            </w:r>
          </w:p>
        </w:tc>
        <w:tc>
          <w:tcPr>
            <w:tcW w:w="588" w:type="dxa"/>
            <w:vAlign w:val="center"/>
          </w:tcPr>
          <w:p>
            <w:pPr>
              <w:ind w:firstLine="0" w:firstLineChars="0"/>
              <w:jc w:val="center"/>
              <w:rPr>
                <w:rFonts w:ascii="宋体" w:hAnsi="宋体" w:cs="宋体"/>
                <w:sz w:val="21"/>
                <w:szCs w:val="21"/>
              </w:rPr>
            </w:pPr>
            <w:r>
              <w:rPr>
                <w:rFonts w:hint="eastAsia" w:ascii="宋体" w:hAnsi="宋体" w:cs="宋体"/>
                <w:sz w:val="21"/>
                <w:szCs w:val="21"/>
              </w:rPr>
              <w:t>项</w:t>
            </w:r>
          </w:p>
        </w:tc>
        <w:tc>
          <w:tcPr>
            <w:tcW w:w="1010" w:type="dxa"/>
            <w:vAlign w:val="center"/>
          </w:tcPr>
          <w:p>
            <w:pPr>
              <w:ind w:firstLine="0" w:firstLineChars="0"/>
              <w:jc w:val="center"/>
              <w:rPr>
                <w:rFonts w:ascii="宋体" w:hAnsi="宋体" w:cs="宋体"/>
                <w:kern w:val="0"/>
                <w:sz w:val="21"/>
                <w:szCs w:val="21"/>
              </w:rPr>
            </w:pPr>
            <w:r>
              <w:rPr>
                <w:rFonts w:hint="eastAsia" w:ascii="宋体" w:hAnsi="宋体" w:cs="宋体"/>
                <w:kern w:val="0"/>
                <w:sz w:val="21"/>
                <w:szCs w:val="21"/>
              </w:rPr>
              <w:t>500</w:t>
            </w:r>
          </w:p>
        </w:tc>
        <w:tc>
          <w:tcPr>
            <w:tcW w:w="1222" w:type="dxa"/>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2019-2022年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exact"/>
          <w:jc w:val="center"/>
        </w:trPr>
        <w:tc>
          <w:tcPr>
            <w:tcW w:w="1575" w:type="dxa"/>
            <w:tcBorders>
              <w:top w:val="single" w:color="auto" w:sz="4" w:space="0"/>
              <w:left w:val="single" w:color="auto" w:sz="4" w:space="0"/>
              <w:bottom w:val="single" w:color="auto" w:sz="4" w:space="0"/>
              <w:right w:val="single" w:color="auto" w:sz="4" w:space="0"/>
            </w:tcBorders>
            <w:vAlign w:val="center"/>
          </w:tcPr>
          <w:p>
            <w:pPr>
              <w:widowControl/>
              <w:ind w:firstLine="422"/>
              <w:rPr>
                <w:rFonts w:ascii="宋体" w:hAnsi="宋体" w:cs="宋体"/>
                <w:b/>
                <w:kern w:val="0"/>
                <w:sz w:val="21"/>
                <w:szCs w:val="21"/>
              </w:rPr>
            </w:pPr>
            <w:r>
              <w:rPr>
                <w:rFonts w:hint="eastAsia" w:ascii="宋体" w:hAnsi="宋体" w:cs="宋体"/>
                <w:b/>
                <w:kern w:val="0"/>
                <w:sz w:val="21"/>
                <w:szCs w:val="21"/>
              </w:rPr>
              <w:t>小计</w:t>
            </w:r>
          </w:p>
        </w:tc>
        <w:tc>
          <w:tcPr>
            <w:tcW w:w="4232" w:type="dxa"/>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宋体" w:hAnsi="宋体" w:cs="宋体"/>
                <w:b/>
                <w:kern w:val="0"/>
                <w:sz w:val="21"/>
                <w:szCs w:val="21"/>
              </w:rPr>
            </w:pPr>
          </w:p>
        </w:tc>
        <w:tc>
          <w:tcPr>
            <w:tcW w:w="952" w:type="dxa"/>
            <w:tcBorders>
              <w:top w:val="single" w:color="auto" w:sz="4" w:space="0"/>
              <w:left w:val="single" w:color="auto" w:sz="4" w:space="0"/>
              <w:bottom w:val="single" w:color="auto" w:sz="4" w:space="0"/>
              <w:right w:val="single" w:color="auto" w:sz="4" w:space="0"/>
            </w:tcBorders>
          </w:tcPr>
          <w:p>
            <w:pPr>
              <w:ind w:firstLine="422"/>
              <w:jc w:val="center"/>
              <w:rPr>
                <w:rFonts w:ascii="宋体" w:hAnsi="宋体" w:cs="宋体"/>
                <w:b/>
                <w:sz w:val="21"/>
                <w:szCs w:val="21"/>
              </w:rPr>
            </w:pPr>
          </w:p>
        </w:tc>
        <w:tc>
          <w:tcPr>
            <w:tcW w:w="588" w:type="dxa"/>
            <w:tcBorders>
              <w:top w:val="single" w:color="auto" w:sz="4" w:space="0"/>
              <w:left w:val="single" w:color="auto" w:sz="4" w:space="0"/>
              <w:bottom w:val="single" w:color="auto" w:sz="4" w:space="0"/>
              <w:right w:val="single" w:color="auto" w:sz="4" w:space="0"/>
            </w:tcBorders>
          </w:tcPr>
          <w:p>
            <w:pPr>
              <w:ind w:firstLine="422"/>
              <w:jc w:val="center"/>
              <w:rPr>
                <w:rFonts w:ascii="宋体" w:hAnsi="宋体" w:cs="宋体"/>
                <w:b/>
                <w:sz w:val="21"/>
                <w:szCs w:val="21"/>
              </w:rPr>
            </w:pPr>
          </w:p>
        </w:tc>
        <w:tc>
          <w:tcPr>
            <w:tcW w:w="101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b/>
                <w:sz w:val="21"/>
                <w:szCs w:val="21"/>
              </w:rPr>
            </w:pPr>
            <w:r>
              <w:rPr>
                <w:rFonts w:hint="eastAsia" w:ascii="宋体" w:hAnsi="宋体" w:cs="宋体"/>
                <w:b/>
                <w:sz w:val="21"/>
                <w:szCs w:val="21"/>
              </w:rPr>
              <w:t>32000</w:t>
            </w:r>
          </w:p>
        </w:tc>
        <w:tc>
          <w:tcPr>
            <w:tcW w:w="1222" w:type="dxa"/>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宋体" w:hAnsi="宋体" w:cs="宋体"/>
                <w:b/>
                <w:kern w:val="0"/>
                <w:sz w:val="21"/>
                <w:szCs w:val="21"/>
              </w:rPr>
            </w:pPr>
            <w:r>
              <w:rPr>
                <w:rFonts w:hint="eastAsia" w:ascii="宋体" w:hAnsi="宋体" w:cs="宋体"/>
                <w:b/>
                <w:kern w:val="0"/>
                <w:sz w:val="21"/>
                <w:szCs w:val="21"/>
              </w:rPr>
              <w:t>——</w:t>
            </w:r>
          </w:p>
        </w:tc>
      </w:tr>
    </w:tbl>
    <w:p>
      <w:pPr>
        <w:pStyle w:val="11"/>
        <w:tabs>
          <w:tab w:val="right" w:leader="dot" w:pos="10243"/>
        </w:tabs>
        <w:ind w:left="0" w:firstLine="0" w:firstLineChars="0"/>
        <w:rPr>
          <w:rFonts w:ascii="宋体" w:hAnsi="宋体"/>
          <w:b/>
          <w:bCs/>
          <w:smallCaps w:val="0"/>
          <w:sz w:val="32"/>
          <w:szCs w:val="32"/>
        </w:rPr>
      </w:pPr>
    </w:p>
    <w:p>
      <w:pPr>
        <w:ind w:firstLine="643"/>
        <w:rPr>
          <w:rFonts w:ascii="宋体" w:hAnsi="宋体"/>
          <w:b/>
          <w:bCs/>
          <w:sz w:val="32"/>
          <w:szCs w:val="32"/>
        </w:rPr>
      </w:pPr>
    </w:p>
    <w:p>
      <w:pPr>
        <w:ind w:firstLine="643"/>
        <w:rPr>
          <w:rFonts w:ascii="宋体" w:hAnsi="宋体"/>
          <w:b/>
          <w:bCs/>
          <w:sz w:val="32"/>
          <w:szCs w:val="32"/>
        </w:rPr>
      </w:pPr>
    </w:p>
    <w:p>
      <w:pPr>
        <w:pStyle w:val="3"/>
        <w:ind w:firstLine="643"/>
      </w:pPr>
      <w:r>
        <w:fldChar w:fldCharType="begin"/>
      </w:r>
      <w:r>
        <w:instrText xml:space="preserve"> HYPERLINK \l "_Toc529132047" </w:instrText>
      </w:r>
      <w:r>
        <w:fldChar w:fldCharType="separate"/>
      </w:r>
      <w:bookmarkStart w:id="118" w:name="_Toc21594863"/>
      <w:r>
        <w:rPr>
          <w:rFonts w:hint="eastAsia"/>
        </w:rPr>
        <w:t>二、科技支撑体系建设</w:t>
      </w:r>
      <w:bookmarkEnd w:id="118"/>
      <w:r>
        <w:rPr>
          <w:rFonts w:hint="eastAsia"/>
        </w:rPr>
        <w:fldChar w:fldCharType="end"/>
      </w:r>
    </w:p>
    <w:p>
      <w:pPr>
        <w:pStyle w:val="4"/>
        <w:spacing w:before="156" w:after="156"/>
        <w:ind w:firstLine="452"/>
      </w:pPr>
      <w:bookmarkStart w:id="119" w:name="_Toc482643457"/>
      <w:r>
        <w:rPr>
          <w:rFonts w:hint="eastAsia"/>
        </w:rPr>
        <w:t>（一）功能目标</w:t>
      </w:r>
      <w:bookmarkEnd w:id="119"/>
    </w:p>
    <w:p>
      <w:pPr>
        <w:spacing w:line="360" w:lineRule="auto"/>
        <w:ind w:firstLine="560"/>
        <w:rPr>
          <w:rFonts w:ascii="宋体" w:hAnsi="宋体" w:cs="宋体"/>
          <w:szCs w:val="28"/>
        </w:rPr>
      </w:pPr>
      <w:r>
        <w:rPr>
          <w:rFonts w:hint="eastAsia" w:ascii="宋体" w:hAnsi="宋体" w:cs="宋体"/>
          <w:szCs w:val="28"/>
        </w:rPr>
        <w:t>结合兴安县产业需求，以引进培育普及良种、推广良法作为突破口，以农民培训为抓手，紧密依靠科研力量，以发展眼光、先进理念和国际视野，准确把握农业新形势，明确现代农业科技创新方向，推进农业科技服务体系建设步伐，全面提升农业科技服务能力，使项目区主导产业特色优势更加突出。经过项目实施，建立村级农技服务站点4个，培训农民和科技人员数3000人次左右，扶持科技示范户500户左右；农业科技贡献率年均提高5%，农业良种良法覆盖率达95%以上，农业科技成果转化率年均提高5%。</w:t>
      </w:r>
    </w:p>
    <w:p>
      <w:pPr>
        <w:pStyle w:val="4"/>
        <w:spacing w:before="156" w:after="156"/>
        <w:ind w:firstLine="452"/>
      </w:pPr>
      <w:bookmarkStart w:id="120" w:name="_Toc482643458"/>
      <w:r>
        <w:rPr>
          <w:rFonts w:hint="eastAsia"/>
        </w:rPr>
        <w:t>（二）建设任务</w:t>
      </w:r>
      <w:bookmarkEnd w:id="120"/>
    </w:p>
    <w:p>
      <w:pPr>
        <w:ind w:firstLine="560"/>
        <w:rPr>
          <w:rFonts w:ascii="宋体" w:hAnsi="宋体" w:cs="宋体"/>
          <w:szCs w:val="28"/>
        </w:rPr>
      </w:pPr>
      <w:r>
        <w:rPr>
          <w:rFonts w:hint="eastAsia" w:ascii="宋体" w:hAnsi="宋体" w:cs="宋体"/>
          <w:szCs w:val="28"/>
        </w:rPr>
        <w:t>围绕</w:t>
      </w:r>
      <w:r>
        <w:rPr>
          <w:rStyle w:val="20"/>
          <w:rFonts w:hint="eastAsia" w:ascii="宋体" w:hAnsi="宋体" w:cs="宋体"/>
          <w:color w:val="auto"/>
          <w:szCs w:val="28"/>
          <w:u w:val="none"/>
        </w:rPr>
        <w:t>葡萄、银杏、甜玉米、柑桔、食用菌</w:t>
      </w:r>
      <w:r>
        <w:rPr>
          <w:rFonts w:hint="eastAsia" w:ascii="宋体" w:hAnsi="宋体" w:cs="宋体"/>
          <w:szCs w:val="28"/>
        </w:rPr>
        <w:t>等五大特色产业，不断增强农业科技创新能力。扶持具有较强创新能力和发展潜力的农业企业建立技术创新、技术转化的机构和团队，与科研院所建立并深化产学研合作，提高科技创新能力和水平。深入实施科技富民强县行动计划，加大优良品种选育和新品种、新技术的研发、推广和应用力度，不断提高农业产业扶贫的技术支持。</w:t>
      </w:r>
    </w:p>
    <w:p>
      <w:pPr>
        <w:pStyle w:val="4"/>
        <w:spacing w:before="156" w:after="156"/>
        <w:ind w:firstLine="452"/>
      </w:pPr>
      <w:bookmarkStart w:id="121" w:name="_Toc482643459"/>
      <w:r>
        <w:rPr>
          <w:rFonts w:hint="eastAsia"/>
        </w:rPr>
        <w:t>（三）重点建设项目</w:t>
      </w:r>
      <w:bookmarkEnd w:id="121"/>
    </w:p>
    <w:p>
      <w:pPr>
        <w:spacing w:line="360" w:lineRule="auto"/>
        <w:ind w:firstLine="562"/>
        <w:rPr>
          <w:rFonts w:ascii="宋体" w:hAnsi="宋体" w:cs="宋体"/>
          <w:szCs w:val="28"/>
        </w:rPr>
      </w:pPr>
      <w:r>
        <w:rPr>
          <w:rFonts w:hint="eastAsia" w:ascii="宋体" w:hAnsi="宋体" w:cs="宋体"/>
          <w:b/>
          <w:bCs/>
          <w:szCs w:val="28"/>
        </w:rPr>
        <w:t>1.新品种培育。</w:t>
      </w:r>
      <w:r>
        <w:rPr>
          <w:rFonts w:hint="eastAsia" w:ascii="宋体" w:hAnsi="宋体" w:cs="宋体"/>
          <w:szCs w:val="28"/>
        </w:rPr>
        <w:t>提高</w:t>
      </w:r>
      <w:r>
        <w:rPr>
          <w:rStyle w:val="20"/>
          <w:rFonts w:hint="eastAsia" w:ascii="宋体" w:hAnsi="宋体" w:cs="宋体"/>
          <w:color w:val="auto"/>
          <w:szCs w:val="28"/>
          <w:u w:val="none"/>
        </w:rPr>
        <w:t>葡萄、银杏、甜玉米、柑桔、食用菌</w:t>
      </w:r>
      <w:r>
        <w:rPr>
          <w:rFonts w:hint="eastAsia" w:ascii="宋体" w:hAnsi="宋体" w:cs="宋体"/>
          <w:szCs w:val="28"/>
        </w:rPr>
        <w:t>良种化程度，对现有品种进行提纯、复壮，筛选出抗病优质品种；引进高产、多抗新良种，加速培育并保持优良种性及纯度，培育健康优质的种苗，促进品种结构优化。</w:t>
      </w:r>
    </w:p>
    <w:p>
      <w:pPr>
        <w:spacing w:line="360" w:lineRule="auto"/>
        <w:ind w:firstLine="562"/>
        <w:rPr>
          <w:rFonts w:ascii="宋体" w:hAnsi="宋体" w:cs="宋体"/>
          <w:szCs w:val="28"/>
        </w:rPr>
      </w:pPr>
      <w:r>
        <w:rPr>
          <w:rFonts w:hint="eastAsia" w:ascii="宋体" w:hAnsi="宋体" w:cs="宋体"/>
          <w:b/>
          <w:bCs/>
          <w:szCs w:val="28"/>
        </w:rPr>
        <w:t>2.农业产学研合作。</w:t>
      </w:r>
      <w:r>
        <w:rPr>
          <w:rFonts w:hint="eastAsia" w:ascii="宋体" w:hAnsi="宋体" w:cs="宋体"/>
          <w:szCs w:val="28"/>
        </w:rPr>
        <w:t>以大学、科研机构为依托，成立农业科技推广专家组，为兴安特色农业产业提供产前、产中、产后的科技服务，提高农业科技贡献率；鼓励农业龙头企业和农业合作社以多种形式参与农业科研开发，加快科技创新步伐，提高优势传统产业技术水平和创新能力，通过农业产学研合作，实现农业科技成果快速转化。</w:t>
      </w:r>
    </w:p>
    <w:p>
      <w:pPr>
        <w:spacing w:line="360" w:lineRule="auto"/>
        <w:ind w:firstLine="562"/>
        <w:rPr>
          <w:rFonts w:ascii="宋体" w:hAnsi="宋体" w:cs="宋体"/>
          <w:szCs w:val="28"/>
        </w:rPr>
      </w:pPr>
      <w:r>
        <w:rPr>
          <w:rFonts w:hint="eastAsia" w:ascii="宋体" w:hAnsi="宋体" w:cs="宋体"/>
          <w:b/>
          <w:bCs/>
          <w:szCs w:val="28"/>
        </w:rPr>
        <w:t>3.生产技能培训与推广。</w:t>
      </w:r>
      <w:r>
        <w:rPr>
          <w:rFonts w:hint="eastAsia" w:ascii="宋体" w:hAnsi="宋体" w:cs="宋体"/>
          <w:szCs w:val="28"/>
        </w:rPr>
        <w:t>定期开展劳动技能和职业技术培训，充分发挥农业科研单位、大专院校优势，利用课堂、田间、电视、网络、广播、书刊、</w:t>
      </w:r>
      <w:r>
        <w:rPr>
          <w:rStyle w:val="20"/>
          <w:rFonts w:hint="eastAsia" w:ascii="宋体" w:hAnsi="宋体" w:cs="宋体"/>
          <w:color w:val="auto"/>
          <w:szCs w:val="28"/>
          <w:u w:val="none"/>
        </w:rPr>
        <w:t>手机APP等</w:t>
      </w:r>
      <w:r>
        <w:rPr>
          <w:rFonts w:hint="eastAsia" w:ascii="宋体" w:hAnsi="宋体" w:cs="宋体"/>
          <w:szCs w:val="28"/>
        </w:rPr>
        <w:t>多种形式，分层次、分区域、按需求地对从业者开展专业农技培训。培训对象要覆盖到村干部、企业管理和技术骨干和规模种养户，以提高科技素质、职业技能为核心，培养和打造现代农业实用人才和产业致富带头人。</w:t>
      </w:r>
    </w:p>
    <w:p>
      <w:pPr>
        <w:spacing w:line="360" w:lineRule="auto"/>
        <w:ind w:firstLine="562"/>
        <w:rPr>
          <w:rFonts w:ascii="宋体" w:hAnsi="宋体" w:cs="宋体"/>
          <w:szCs w:val="28"/>
        </w:rPr>
      </w:pPr>
      <w:r>
        <w:rPr>
          <w:rFonts w:hint="eastAsia" w:ascii="宋体" w:hAnsi="宋体" w:cs="宋体"/>
          <w:b/>
          <w:bCs/>
          <w:szCs w:val="28"/>
        </w:rPr>
        <w:t>4.专业人才引进。</w:t>
      </w:r>
      <w:r>
        <w:rPr>
          <w:rFonts w:hint="eastAsia" w:ascii="宋体" w:hAnsi="宋体" w:cs="宋体"/>
          <w:szCs w:val="28"/>
        </w:rPr>
        <w:t>面向自治区乃至全国延揽农业专业人才，重视人才的专业技能、实践能力、自主创新能力、工作责任心等综合素质，为兴安县发展现代农业提供坚实的人才保障和智力支持，提高项目区农业发展软实力。重点产业生产示范基地不定期向在校大中小学生开放，普及农业知识，让青少年学生近距离接触农业生产，培养现代农业接班人。具体重点建设项目与投资估算如下表8-2所示：</w:t>
      </w:r>
    </w:p>
    <w:p>
      <w:pPr>
        <w:spacing w:before="156" w:beforeLines="50" w:after="156" w:afterLines="50"/>
        <w:ind w:firstLine="482"/>
        <w:jc w:val="center"/>
        <w:rPr>
          <w:rFonts w:ascii="宋体" w:hAnsi="宋体" w:cs="宋体"/>
          <w:sz w:val="24"/>
        </w:rPr>
      </w:pPr>
      <w:r>
        <w:rPr>
          <w:rFonts w:hint="eastAsia" w:ascii="宋体" w:hAnsi="宋体" w:cs="宋体"/>
          <w:b/>
          <w:sz w:val="24"/>
        </w:rPr>
        <w:t>表8-2  科技支撑体系建设重点项目表</w:t>
      </w:r>
    </w:p>
    <w:tbl>
      <w:tblPr>
        <w:tblStyle w:val="15"/>
        <w:tblW w:w="93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1"/>
        <w:gridCol w:w="2629"/>
        <w:gridCol w:w="993"/>
        <w:gridCol w:w="850"/>
        <w:gridCol w:w="1136"/>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2151" w:type="dxa"/>
            <w:vAlign w:val="center"/>
          </w:tcPr>
          <w:p>
            <w:pPr>
              <w:widowControl/>
              <w:ind w:right="-358" w:rightChars="-128" w:firstLine="310" w:firstLineChars="147"/>
              <w:rPr>
                <w:rFonts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kern w:val="0"/>
                <w:sz w:val="21"/>
                <w:szCs w:val="21"/>
              </w:rPr>
              <w:t>项目名称</w:t>
            </w:r>
          </w:p>
        </w:tc>
        <w:tc>
          <w:tcPr>
            <w:tcW w:w="2629" w:type="dxa"/>
            <w:vAlign w:val="center"/>
          </w:tcPr>
          <w:p>
            <w:pPr>
              <w:widowControl/>
              <w:ind w:firstLine="422"/>
              <w:jc w:val="center"/>
              <w:rPr>
                <w:rFonts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kern w:val="0"/>
                <w:sz w:val="21"/>
                <w:szCs w:val="21"/>
              </w:rPr>
              <w:t>建设内容</w:t>
            </w:r>
          </w:p>
        </w:tc>
        <w:tc>
          <w:tcPr>
            <w:tcW w:w="993" w:type="dxa"/>
            <w:vAlign w:val="center"/>
          </w:tcPr>
          <w:p>
            <w:pPr>
              <w:widowControl/>
              <w:ind w:firstLine="0" w:firstLineChars="0"/>
              <w:rPr>
                <w:rFonts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kern w:val="0"/>
                <w:sz w:val="21"/>
                <w:szCs w:val="21"/>
              </w:rPr>
              <w:t>工程量</w:t>
            </w:r>
          </w:p>
        </w:tc>
        <w:tc>
          <w:tcPr>
            <w:tcW w:w="850" w:type="dxa"/>
            <w:vAlign w:val="center"/>
          </w:tcPr>
          <w:p>
            <w:pPr>
              <w:widowControl/>
              <w:ind w:firstLine="0" w:firstLineChars="0"/>
              <w:rPr>
                <w:rFonts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kern w:val="0"/>
                <w:sz w:val="21"/>
                <w:szCs w:val="21"/>
              </w:rPr>
              <w:t>单位</w:t>
            </w:r>
          </w:p>
        </w:tc>
        <w:tc>
          <w:tcPr>
            <w:tcW w:w="1136" w:type="dxa"/>
            <w:vAlign w:val="center"/>
          </w:tcPr>
          <w:p>
            <w:pPr>
              <w:widowControl/>
              <w:ind w:firstLine="0" w:firstLineChars="0"/>
              <w:rPr>
                <w:rFonts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kern w:val="0"/>
                <w:sz w:val="21"/>
                <w:szCs w:val="21"/>
              </w:rPr>
              <w:t>总投入（万元）</w:t>
            </w:r>
          </w:p>
        </w:tc>
        <w:tc>
          <w:tcPr>
            <w:tcW w:w="1610" w:type="dxa"/>
            <w:vAlign w:val="center"/>
          </w:tcPr>
          <w:p>
            <w:pPr>
              <w:widowControl/>
              <w:ind w:firstLine="0" w:firstLineChars="0"/>
              <w:rPr>
                <w:rFonts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kern w:val="0"/>
                <w:sz w:val="21"/>
                <w:szCs w:val="21"/>
              </w:rPr>
              <w:t>建设时间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2151" w:type="dxa"/>
            <w:vMerge w:val="restart"/>
            <w:vAlign w:val="center"/>
          </w:tcPr>
          <w:p>
            <w:pPr>
              <w:widowControl/>
              <w:ind w:firstLine="0" w:firstLineChars="0"/>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新品种培育</w:t>
            </w:r>
          </w:p>
        </w:tc>
        <w:tc>
          <w:tcPr>
            <w:tcW w:w="2629" w:type="dxa"/>
            <w:vAlign w:val="center"/>
          </w:tcPr>
          <w:p>
            <w:pPr>
              <w:widowControl/>
              <w:ind w:firstLine="0" w:firstLineChars="0"/>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品种改良及提纯复壮工程</w:t>
            </w:r>
          </w:p>
        </w:tc>
        <w:tc>
          <w:tcPr>
            <w:tcW w:w="993" w:type="dxa"/>
            <w:vAlign w:val="center"/>
          </w:tcPr>
          <w:p>
            <w:pPr>
              <w:widowControl/>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p>
        </w:tc>
        <w:tc>
          <w:tcPr>
            <w:tcW w:w="850" w:type="dxa"/>
            <w:vAlign w:val="center"/>
          </w:tcPr>
          <w:p>
            <w:pPr>
              <w:widowControl/>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项</w:t>
            </w:r>
          </w:p>
        </w:tc>
        <w:tc>
          <w:tcPr>
            <w:tcW w:w="1136" w:type="dxa"/>
            <w:vAlign w:val="center"/>
          </w:tcPr>
          <w:p>
            <w:pPr>
              <w:widowControl/>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200</w:t>
            </w:r>
          </w:p>
        </w:tc>
        <w:tc>
          <w:tcPr>
            <w:tcW w:w="1610" w:type="dxa"/>
            <w:vMerge w:val="restart"/>
            <w:vAlign w:val="center"/>
          </w:tcPr>
          <w:p>
            <w:pPr>
              <w:widowControl/>
              <w:ind w:firstLine="0" w:firstLineChars="0"/>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2019-2022年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2151" w:type="dxa"/>
            <w:vMerge w:val="continue"/>
            <w:vAlign w:val="center"/>
          </w:tcPr>
          <w:p>
            <w:pPr>
              <w:widowControl/>
              <w:ind w:firstLine="420"/>
              <w:jc w:val="center"/>
              <w:rPr>
                <w:rFonts w:asciiTheme="minorEastAsia" w:hAnsiTheme="minorEastAsia" w:eastAsiaTheme="minorEastAsia" w:cstheme="minorEastAsia"/>
                <w:bCs/>
                <w:kern w:val="0"/>
                <w:sz w:val="21"/>
                <w:szCs w:val="21"/>
              </w:rPr>
            </w:pPr>
          </w:p>
        </w:tc>
        <w:tc>
          <w:tcPr>
            <w:tcW w:w="2629" w:type="dxa"/>
            <w:vAlign w:val="center"/>
          </w:tcPr>
          <w:p>
            <w:pPr>
              <w:widowControl/>
              <w:ind w:firstLine="0" w:firstLineChars="0"/>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先进技术引进与宣传</w:t>
            </w:r>
          </w:p>
        </w:tc>
        <w:tc>
          <w:tcPr>
            <w:tcW w:w="993" w:type="dxa"/>
            <w:vAlign w:val="center"/>
          </w:tcPr>
          <w:p>
            <w:pPr>
              <w:widowControl/>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p>
        </w:tc>
        <w:tc>
          <w:tcPr>
            <w:tcW w:w="850" w:type="dxa"/>
            <w:vAlign w:val="center"/>
          </w:tcPr>
          <w:p>
            <w:pPr>
              <w:widowControl/>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项</w:t>
            </w:r>
          </w:p>
        </w:tc>
        <w:tc>
          <w:tcPr>
            <w:tcW w:w="1136" w:type="dxa"/>
            <w:vAlign w:val="center"/>
          </w:tcPr>
          <w:p>
            <w:pPr>
              <w:widowControl/>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100</w:t>
            </w:r>
          </w:p>
        </w:tc>
        <w:tc>
          <w:tcPr>
            <w:tcW w:w="1610" w:type="dxa"/>
            <w:vMerge w:val="continue"/>
            <w:vAlign w:val="center"/>
          </w:tcPr>
          <w:p>
            <w:pPr>
              <w:widowControl/>
              <w:ind w:firstLine="420"/>
              <w:jc w:val="center"/>
              <w:rPr>
                <w:rFonts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151" w:type="dxa"/>
            <w:vMerge w:val="continue"/>
            <w:vAlign w:val="center"/>
          </w:tcPr>
          <w:p>
            <w:pPr>
              <w:widowControl/>
              <w:ind w:firstLine="420"/>
              <w:jc w:val="center"/>
              <w:rPr>
                <w:rFonts w:asciiTheme="minorEastAsia" w:hAnsiTheme="minorEastAsia" w:eastAsiaTheme="minorEastAsia" w:cstheme="minorEastAsia"/>
                <w:bCs/>
                <w:kern w:val="0"/>
                <w:sz w:val="21"/>
                <w:szCs w:val="21"/>
              </w:rPr>
            </w:pPr>
          </w:p>
        </w:tc>
        <w:tc>
          <w:tcPr>
            <w:tcW w:w="2629" w:type="dxa"/>
            <w:vAlign w:val="center"/>
          </w:tcPr>
          <w:p>
            <w:pPr>
              <w:widowControl/>
              <w:ind w:firstLine="0" w:firstLineChars="0"/>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样品室、实验室、仪器室、资料室以及配套设施建设</w:t>
            </w:r>
          </w:p>
        </w:tc>
        <w:tc>
          <w:tcPr>
            <w:tcW w:w="993" w:type="dxa"/>
            <w:vAlign w:val="center"/>
          </w:tcPr>
          <w:p>
            <w:pPr>
              <w:widowControl/>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p>
        </w:tc>
        <w:tc>
          <w:tcPr>
            <w:tcW w:w="850" w:type="dxa"/>
            <w:vAlign w:val="center"/>
          </w:tcPr>
          <w:p>
            <w:pPr>
              <w:widowControl/>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项</w:t>
            </w:r>
          </w:p>
        </w:tc>
        <w:tc>
          <w:tcPr>
            <w:tcW w:w="1136" w:type="dxa"/>
            <w:vAlign w:val="center"/>
          </w:tcPr>
          <w:p>
            <w:pPr>
              <w:widowControl/>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80</w:t>
            </w:r>
          </w:p>
        </w:tc>
        <w:tc>
          <w:tcPr>
            <w:tcW w:w="1610" w:type="dxa"/>
            <w:vMerge w:val="continue"/>
            <w:vAlign w:val="center"/>
          </w:tcPr>
          <w:p>
            <w:pPr>
              <w:widowControl/>
              <w:ind w:firstLine="420"/>
              <w:jc w:val="center"/>
              <w:rPr>
                <w:rFonts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151" w:type="dxa"/>
            <w:vAlign w:val="center"/>
          </w:tcPr>
          <w:p>
            <w:pPr>
              <w:widowControl/>
              <w:ind w:firstLine="0" w:firstLineChars="0"/>
              <w:rPr>
                <w:rFonts w:asciiTheme="minorEastAsia" w:hAnsiTheme="minorEastAsia" w:eastAsiaTheme="minorEastAsia" w:cstheme="minorEastAsia"/>
                <w:bCs/>
                <w:kern w:val="0"/>
                <w:sz w:val="21"/>
                <w:szCs w:val="21"/>
              </w:rPr>
            </w:pPr>
            <w:r>
              <w:rPr>
                <w:rFonts w:hint="eastAsia" w:asciiTheme="minorEastAsia" w:hAnsiTheme="minorEastAsia" w:eastAsiaTheme="minorEastAsia" w:cstheme="minorEastAsia"/>
                <w:bCs/>
                <w:kern w:val="0"/>
                <w:sz w:val="21"/>
                <w:szCs w:val="21"/>
              </w:rPr>
              <w:t>农业产学研合作</w:t>
            </w:r>
          </w:p>
        </w:tc>
        <w:tc>
          <w:tcPr>
            <w:tcW w:w="2629" w:type="dxa"/>
            <w:vAlign w:val="center"/>
          </w:tcPr>
          <w:p>
            <w:pPr>
              <w:widowControl/>
              <w:ind w:firstLine="0" w:firstLineChars="0"/>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主要为农业科技服务、科技研发等项目</w:t>
            </w:r>
          </w:p>
        </w:tc>
        <w:tc>
          <w:tcPr>
            <w:tcW w:w="993" w:type="dxa"/>
            <w:vAlign w:val="center"/>
          </w:tcPr>
          <w:p>
            <w:pPr>
              <w:widowControl/>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p>
        </w:tc>
        <w:tc>
          <w:tcPr>
            <w:tcW w:w="850" w:type="dxa"/>
            <w:vAlign w:val="center"/>
          </w:tcPr>
          <w:p>
            <w:pPr>
              <w:widowControl/>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项</w:t>
            </w:r>
          </w:p>
        </w:tc>
        <w:tc>
          <w:tcPr>
            <w:tcW w:w="1136" w:type="dxa"/>
            <w:vAlign w:val="center"/>
          </w:tcPr>
          <w:p>
            <w:pPr>
              <w:widowControl/>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450</w:t>
            </w:r>
          </w:p>
        </w:tc>
        <w:tc>
          <w:tcPr>
            <w:tcW w:w="1610" w:type="dxa"/>
            <w:vAlign w:val="center"/>
          </w:tcPr>
          <w:p>
            <w:pPr>
              <w:widowControl/>
              <w:ind w:firstLine="0" w:firstLineChars="0"/>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2019-2022年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151" w:type="dxa"/>
            <w:vAlign w:val="center"/>
          </w:tcPr>
          <w:p>
            <w:pPr>
              <w:ind w:firstLine="0" w:firstLineChars="0"/>
              <w:rPr>
                <w:rFonts w:asciiTheme="minorEastAsia" w:hAnsiTheme="minorEastAsia" w:eastAsiaTheme="minorEastAsia" w:cstheme="minorEastAsia"/>
                <w:bCs/>
                <w:kern w:val="0"/>
                <w:sz w:val="21"/>
                <w:szCs w:val="21"/>
              </w:rPr>
            </w:pPr>
            <w:r>
              <w:rPr>
                <w:rFonts w:hint="eastAsia" w:asciiTheme="minorEastAsia" w:hAnsiTheme="minorEastAsia" w:eastAsiaTheme="minorEastAsia" w:cstheme="minorEastAsia"/>
                <w:kern w:val="0"/>
                <w:sz w:val="21"/>
                <w:szCs w:val="21"/>
              </w:rPr>
              <w:t>生产技能培训与推广</w:t>
            </w:r>
          </w:p>
        </w:tc>
        <w:tc>
          <w:tcPr>
            <w:tcW w:w="2629" w:type="dxa"/>
            <w:vAlign w:val="center"/>
          </w:tcPr>
          <w:p>
            <w:pPr>
              <w:widowControl/>
              <w:ind w:firstLine="0" w:firstLineChars="0"/>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劳动技能、农科知识培训等职业技术培训项目</w:t>
            </w:r>
          </w:p>
        </w:tc>
        <w:tc>
          <w:tcPr>
            <w:tcW w:w="993" w:type="dxa"/>
            <w:vAlign w:val="center"/>
          </w:tcPr>
          <w:p>
            <w:pPr>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850" w:type="dxa"/>
            <w:vAlign w:val="center"/>
          </w:tcPr>
          <w:p>
            <w:pPr>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w:t>
            </w:r>
          </w:p>
        </w:tc>
        <w:tc>
          <w:tcPr>
            <w:tcW w:w="1136" w:type="dxa"/>
            <w:vAlign w:val="center"/>
          </w:tcPr>
          <w:p>
            <w:pPr>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100</w:t>
            </w:r>
          </w:p>
        </w:tc>
        <w:tc>
          <w:tcPr>
            <w:tcW w:w="1610" w:type="dxa"/>
            <w:vAlign w:val="center"/>
          </w:tcPr>
          <w:p>
            <w:pPr>
              <w:widowControl/>
              <w:ind w:firstLine="0" w:firstLineChars="0"/>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2019-2022年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151" w:type="dxa"/>
            <w:vAlign w:val="center"/>
          </w:tcPr>
          <w:p>
            <w:pPr>
              <w:ind w:firstLine="0" w:firstLineChars="0"/>
              <w:rPr>
                <w:rFonts w:asciiTheme="minorEastAsia" w:hAnsiTheme="minorEastAsia" w:eastAsiaTheme="minorEastAsia" w:cstheme="minorEastAsia"/>
                <w:bCs/>
                <w:kern w:val="0"/>
                <w:sz w:val="21"/>
                <w:szCs w:val="21"/>
              </w:rPr>
            </w:pPr>
            <w:r>
              <w:rPr>
                <w:rFonts w:hint="eastAsia" w:asciiTheme="minorEastAsia" w:hAnsiTheme="minorEastAsia" w:eastAsiaTheme="minorEastAsia" w:cstheme="minorEastAsia"/>
                <w:bCs/>
                <w:kern w:val="0"/>
                <w:sz w:val="21"/>
                <w:szCs w:val="21"/>
              </w:rPr>
              <w:t>专业人才引进</w:t>
            </w:r>
          </w:p>
        </w:tc>
        <w:tc>
          <w:tcPr>
            <w:tcW w:w="2629" w:type="dxa"/>
            <w:vAlign w:val="center"/>
          </w:tcPr>
          <w:p>
            <w:pPr>
              <w:widowControl/>
              <w:ind w:firstLine="0" w:firstLineChars="0"/>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人才引进项目</w:t>
            </w:r>
          </w:p>
        </w:tc>
        <w:tc>
          <w:tcPr>
            <w:tcW w:w="993" w:type="dxa"/>
            <w:vAlign w:val="center"/>
          </w:tcPr>
          <w:p>
            <w:pPr>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850" w:type="dxa"/>
            <w:vAlign w:val="center"/>
          </w:tcPr>
          <w:p>
            <w:pPr>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w:t>
            </w:r>
          </w:p>
        </w:tc>
        <w:tc>
          <w:tcPr>
            <w:tcW w:w="1136" w:type="dxa"/>
            <w:vAlign w:val="center"/>
          </w:tcPr>
          <w:p>
            <w:pPr>
              <w:ind w:firstLine="0" w:firstLineChars="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250</w:t>
            </w:r>
          </w:p>
        </w:tc>
        <w:tc>
          <w:tcPr>
            <w:tcW w:w="1610" w:type="dxa"/>
            <w:vAlign w:val="center"/>
          </w:tcPr>
          <w:p>
            <w:pPr>
              <w:widowControl/>
              <w:ind w:firstLine="0" w:firstLineChars="0"/>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2019-2022年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2151" w:type="dxa"/>
            <w:vAlign w:val="center"/>
          </w:tcPr>
          <w:p>
            <w:pPr>
              <w:ind w:firstLine="420"/>
              <w:rPr>
                <w:rFonts w:asciiTheme="minorEastAsia" w:hAnsiTheme="minorEastAsia" w:eastAsiaTheme="minorEastAsia" w:cstheme="minorEastAsia"/>
                <w:bCs/>
                <w:kern w:val="0"/>
                <w:sz w:val="21"/>
                <w:szCs w:val="21"/>
              </w:rPr>
            </w:pPr>
            <w:r>
              <w:rPr>
                <w:rFonts w:hint="eastAsia" w:asciiTheme="minorEastAsia" w:hAnsiTheme="minorEastAsia" w:eastAsiaTheme="minorEastAsia" w:cstheme="minorEastAsia"/>
                <w:bCs/>
                <w:kern w:val="0"/>
                <w:sz w:val="21"/>
                <w:szCs w:val="21"/>
              </w:rPr>
              <w:t>小计</w:t>
            </w:r>
          </w:p>
        </w:tc>
        <w:tc>
          <w:tcPr>
            <w:tcW w:w="2629" w:type="dxa"/>
            <w:vAlign w:val="center"/>
          </w:tcPr>
          <w:p>
            <w:pPr>
              <w:widowControl/>
              <w:ind w:firstLine="420"/>
              <w:jc w:val="center"/>
              <w:rPr>
                <w:rFonts w:asciiTheme="minorEastAsia" w:hAnsiTheme="minorEastAsia" w:eastAsiaTheme="minorEastAsia" w:cstheme="minorEastAsia"/>
                <w:kern w:val="0"/>
                <w:sz w:val="21"/>
                <w:szCs w:val="21"/>
              </w:rPr>
            </w:pPr>
          </w:p>
        </w:tc>
        <w:tc>
          <w:tcPr>
            <w:tcW w:w="993" w:type="dxa"/>
            <w:vAlign w:val="center"/>
          </w:tcPr>
          <w:p>
            <w:pPr>
              <w:ind w:firstLine="420"/>
              <w:jc w:val="center"/>
              <w:rPr>
                <w:rFonts w:asciiTheme="minorEastAsia" w:hAnsiTheme="minorEastAsia" w:eastAsiaTheme="minorEastAsia" w:cstheme="minorEastAsia"/>
                <w:sz w:val="21"/>
                <w:szCs w:val="21"/>
              </w:rPr>
            </w:pPr>
          </w:p>
        </w:tc>
        <w:tc>
          <w:tcPr>
            <w:tcW w:w="850" w:type="dxa"/>
            <w:vAlign w:val="center"/>
          </w:tcPr>
          <w:p>
            <w:pPr>
              <w:ind w:firstLine="420"/>
              <w:jc w:val="center"/>
              <w:rPr>
                <w:rFonts w:asciiTheme="minorEastAsia" w:hAnsiTheme="minorEastAsia" w:eastAsiaTheme="minorEastAsia" w:cstheme="minorEastAsia"/>
                <w:sz w:val="21"/>
                <w:szCs w:val="21"/>
              </w:rPr>
            </w:pPr>
          </w:p>
        </w:tc>
        <w:tc>
          <w:tcPr>
            <w:tcW w:w="1136" w:type="dxa"/>
            <w:vAlign w:val="center"/>
          </w:tcPr>
          <w:p>
            <w:pPr>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1180</w:t>
            </w:r>
          </w:p>
        </w:tc>
        <w:tc>
          <w:tcPr>
            <w:tcW w:w="1610" w:type="dxa"/>
            <w:vAlign w:val="center"/>
          </w:tcPr>
          <w:p>
            <w:pPr>
              <w:widowControl/>
              <w:ind w:firstLine="422"/>
              <w:jc w:val="center"/>
              <w:rPr>
                <w:rFonts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w:t>
            </w:r>
          </w:p>
        </w:tc>
      </w:tr>
    </w:tbl>
    <w:p>
      <w:pPr>
        <w:pStyle w:val="3"/>
        <w:ind w:firstLine="643"/>
      </w:pPr>
      <w:r>
        <w:fldChar w:fldCharType="begin"/>
      </w:r>
      <w:r>
        <w:instrText xml:space="preserve"> HYPERLINK \l "_Toc529132048" </w:instrText>
      </w:r>
      <w:r>
        <w:fldChar w:fldCharType="separate"/>
      </w:r>
      <w:bookmarkStart w:id="122" w:name="_Toc21594864"/>
      <w:r>
        <w:rPr>
          <w:rFonts w:hint="eastAsia"/>
        </w:rPr>
        <w:t>三、信息化体系建设</w:t>
      </w:r>
      <w:bookmarkEnd w:id="122"/>
      <w:r>
        <w:rPr>
          <w:rFonts w:hint="eastAsia"/>
        </w:rPr>
        <w:fldChar w:fldCharType="end"/>
      </w:r>
    </w:p>
    <w:p>
      <w:pPr>
        <w:pStyle w:val="4"/>
        <w:spacing w:before="156" w:after="156"/>
        <w:ind w:firstLine="452"/>
      </w:pPr>
      <w:bookmarkStart w:id="123" w:name="_Toc482643453"/>
      <w:r>
        <w:rPr>
          <w:rFonts w:hint="eastAsia"/>
        </w:rPr>
        <w:t>（一）功能目标</w:t>
      </w:r>
      <w:bookmarkEnd w:id="123"/>
    </w:p>
    <w:p>
      <w:pPr>
        <w:spacing w:line="360" w:lineRule="auto"/>
        <w:ind w:firstLine="560"/>
        <w:rPr>
          <w:rFonts w:ascii="宋体" w:hAnsi="宋体" w:cs="宋体"/>
          <w:szCs w:val="28"/>
        </w:rPr>
      </w:pPr>
      <w:r>
        <w:rPr>
          <w:rFonts w:hint="eastAsia" w:ascii="宋体" w:hAnsi="宋体" w:cs="宋体"/>
          <w:szCs w:val="28"/>
        </w:rPr>
        <w:t>以现实需求为导向，围绕建设现代农业，加快转变农业发展方式，完善农业信息化基础设施，大力开发农业信息资源，充分利用信息技术，全面推进农业信息化建设。坚持信息技术的推广应用与农业发展水平相结合、提高信息技术服务“三农”水平与提高现代农业宏观管理水平相结合，统筹规划，协同推进，有计划、分步骤、抓重点、多层次推进农业信息技术的推广应用，解决农业信息化“最后一公里”问题。</w:t>
      </w:r>
    </w:p>
    <w:p>
      <w:pPr>
        <w:pStyle w:val="4"/>
        <w:spacing w:before="156" w:after="156"/>
        <w:ind w:firstLine="452"/>
      </w:pPr>
      <w:bookmarkStart w:id="124" w:name="_Toc482643454"/>
      <w:r>
        <w:rPr>
          <w:rFonts w:hint="eastAsia"/>
        </w:rPr>
        <w:t>（二）建设任务</w:t>
      </w:r>
      <w:bookmarkEnd w:id="124"/>
    </w:p>
    <w:p>
      <w:pPr>
        <w:spacing w:line="360" w:lineRule="auto"/>
        <w:ind w:firstLine="560"/>
        <w:rPr>
          <w:rFonts w:ascii="宋体" w:hAnsi="宋体" w:cs="宋体"/>
          <w:szCs w:val="28"/>
        </w:rPr>
      </w:pPr>
      <w:r>
        <w:rPr>
          <w:rFonts w:hint="eastAsia" w:ascii="宋体" w:hAnsi="宋体" w:cs="宋体"/>
          <w:szCs w:val="28"/>
        </w:rPr>
        <w:t>通过项目建设，改善农业信息化基础条件，实现全区连接互联网，40%以上的农户能上网交易和发布信息；提高农业信息资源建设水平，建设农业信息网站2个，多功能信息服务站4个，搭建面向农民需求的农业信息服务平台，布设分布在全县的信息采集点50多个，建设农业数据库，使信息技术充分融入到项目区的生产实践中。</w:t>
      </w:r>
    </w:p>
    <w:p>
      <w:pPr>
        <w:pStyle w:val="4"/>
        <w:spacing w:before="156" w:after="156"/>
        <w:ind w:firstLine="452"/>
      </w:pPr>
      <w:bookmarkStart w:id="125" w:name="_Toc482643455"/>
      <w:r>
        <w:rPr>
          <w:rFonts w:hint="eastAsia"/>
        </w:rPr>
        <w:t>（三）重点建设项目</w:t>
      </w:r>
      <w:bookmarkEnd w:id="125"/>
    </w:p>
    <w:p>
      <w:pPr>
        <w:spacing w:line="360" w:lineRule="auto"/>
        <w:ind w:firstLine="562"/>
        <w:rPr>
          <w:rFonts w:ascii="宋体" w:hAnsi="宋体" w:cs="宋体"/>
          <w:szCs w:val="28"/>
        </w:rPr>
      </w:pPr>
      <w:r>
        <w:rPr>
          <w:rFonts w:hint="eastAsia" w:ascii="宋体" w:hAnsi="宋体" w:cs="宋体"/>
          <w:b/>
          <w:bCs/>
          <w:szCs w:val="28"/>
        </w:rPr>
        <w:t>1.建设农业信息发布服务系统。</w:t>
      </w:r>
      <w:r>
        <w:rPr>
          <w:rFonts w:hint="eastAsia" w:ascii="宋体" w:hAnsi="宋体" w:cs="宋体"/>
          <w:szCs w:val="28"/>
        </w:rPr>
        <w:t>建设兴安县农业信息化体系，重点加强内部系统和外部系统建设，内部系统实现内部文件、通知、数据及各管理部门内部办公业务等非涉密信息的交换传输，提高项目区管理层的决策、管理与服务水平；外部系统用于农业信息采集、农产品监测预警、农产品和生产资料市场监管等业务系统和病虫害监测及检验检疫、气象信息服务、应急措施、视频会议等管理服务系统的数据实时更新，实现信息发布的及时、高效。</w:t>
      </w:r>
    </w:p>
    <w:p>
      <w:pPr>
        <w:spacing w:line="360" w:lineRule="auto"/>
        <w:ind w:firstLine="562"/>
        <w:rPr>
          <w:rFonts w:ascii="宋体" w:hAnsi="宋体" w:cs="宋体"/>
          <w:szCs w:val="28"/>
        </w:rPr>
      </w:pPr>
      <w:r>
        <w:rPr>
          <w:rFonts w:hint="eastAsia" w:ascii="宋体" w:hAnsi="宋体" w:cs="宋体"/>
          <w:b/>
          <w:bCs/>
          <w:szCs w:val="28"/>
        </w:rPr>
        <w:t>2.建设市场与农技信息服务系统。</w:t>
      </w:r>
      <w:r>
        <w:rPr>
          <w:rFonts w:hint="eastAsia" w:ascii="宋体" w:hAnsi="宋体" w:cs="宋体"/>
          <w:szCs w:val="28"/>
        </w:rPr>
        <w:t>重点建设农产品市场价格服务、农产品供求信息服务和农业科技信息服务系统。对项目区农产品市场和基点价格的信息进行采集、处理、分析和发布；整合政府和社会资源，向农产品生产企业、加工企业、农民专业合作社和专业种植大户提供市场供求信息、农技信息和农业咨询服务，实现业务交流、资源共享。</w:t>
      </w:r>
    </w:p>
    <w:p>
      <w:pPr>
        <w:spacing w:line="360" w:lineRule="auto"/>
        <w:ind w:firstLine="562"/>
        <w:rPr>
          <w:rFonts w:ascii="宋体" w:hAnsi="宋体" w:cs="宋体"/>
          <w:szCs w:val="28"/>
        </w:rPr>
      </w:pPr>
      <w:r>
        <w:rPr>
          <w:rFonts w:hint="eastAsia" w:ascii="宋体" w:hAnsi="宋体" w:cs="宋体"/>
          <w:b/>
          <w:bCs/>
          <w:szCs w:val="28"/>
        </w:rPr>
        <w:t>3.建设农业电子商务平台。</w:t>
      </w:r>
      <w:r>
        <w:rPr>
          <w:rFonts w:hint="eastAsia" w:ascii="宋体" w:hAnsi="宋体" w:cs="宋体"/>
          <w:szCs w:val="28"/>
        </w:rPr>
        <w:t>围绕</w:t>
      </w:r>
      <w:r>
        <w:rPr>
          <w:rStyle w:val="20"/>
          <w:rFonts w:hint="eastAsia" w:ascii="宋体" w:hAnsi="宋体" w:cs="宋体"/>
          <w:color w:val="auto"/>
          <w:szCs w:val="28"/>
          <w:u w:val="none"/>
        </w:rPr>
        <w:t>葡萄、银杏、甜玉米、柑桔、食用菌</w:t>
      </w:r>
      <w:r>
        <w:rPr>
          <w:rFonts w:hint="eastAsia" w:ascii="宋体" w:hAnsi="宋体" w:cs="宋体"/>
          <w:szCs w:val="28"/>
        </w:rPr>
        <w:t>等农产品积极开展农业电子商务试点，探索农产品电子商务运行模式和相关支持政策，搭建农业电子商务平台，提供生产、流通、交易、竞价、网上超市等服务。加强农产品物流配送、管理等方面的信息化建设，减少交易中间环节，提高交易效率。具体重点建设项目与投资估算如下表8-3所示：</w:t>
      </w:r>
    </w:p>
    <w:p>
      <w:pPr>
        <w:spacing w:before="156" w:beforeLines="50" w:after="156" w:afterLines="50"/>
        <w:ind w:firstLine="482"/>
        <w:jc w:val="center"/>
        <w:rPr>
          <w:rFonts w:ascii="宋体" w:hAnsi="宋体" w:cs="宋体"/>
          <w:sz w:val="24"/>
        </w:rPr>
      </w:pPr>
      <w:r>
        <w:rPr>
          <w:rFonts w:hint="eastAsia" w:ascii="宋体" w:hAnsi="宋体" w:cs="宋体"/>
          <w:b/>
          <w:sz w:val="24"/>
        </w:rPr>
        <w:t>表8-3  信息化体系建设重点项目表</w:t>
      </w:r>
    </w:p>
    <w:tbl>
      <w:tblPr>
        <w:tblStyle w:val="15"/>
        <w:tblW w:w="9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2994"/>
        <w:gridCol w:w="1018"/>
        <w:gridCol w:w="803"/>
        <w:gridCol w:w="1295"/>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blHeader/>
          <w:jc w:val="center"/>
        </w:trPr>
        <w:tc>
          <w:tcPr>
            <w:tcW w:w="1507" w:type="dxa"/>
            <w:vAlign w:val="center"/>
          </w:tcPr>
          <w:p>
            <w:pPr>
              <w:widowControl/>
              <w:ind w:right="-358" w:rightChars="-128" w:firstLine="310" w:firstLineChars="147"/>
              <w:rPr>
                <w:rFonts w:ascii="宋体" w:hAnsi="宋体" w:cs="宋体"/>
                <w:b/>
                <w:bCs/>
                <w:kern w:val="0"/>
                <w:sz w:val="21"/>
                <w:szCs w:val="21"/>
              </w:rPr>
            </w:pPr>
            <w:r>
              <w:rPr>
                <w:rFonts w:hint="eastAsia" w:ascii="宋体" w:hAnsi="宋体" w:cs="宋体"/>
                <w:b/>
                <w:bCs/>
                <w:kern w:val="0"/>
                <w:sz w:val="21"/>
                <w:szCs w:val="21"/>
              </w:rPr>
              <w:t>项目名称</w:t>
            </w:r>
          </w:p>
        </w:tc>
        <w:tc>
          <w:tcPr>
            <w:tcW w:w="2994" w:type="dxa"/>
            <w:vAlign w:val="center"/>
          </w:tcPr>
          <w:p>
            <w:pPr>
              <w:widowControl/>
              <w:ind w:firstLine="422"/>
              <w:jc w:val="center"/>
              <w:rPr>
                <w:rFonts w:ascii="宋体" w:hAnsi="宋体" w:cs="宋体"/>
                <w:b/>
                <w:bCs/>
                <w:kern w:val="0"/>
                <w:sz w:val="21"/>
                <w:szCs w:val="21"/>
              </w:rPr>
            </w:pPr>
            <w:r>
              <w:rPr>
                <w:rFonts w:hint="eastAsia" w:ascii="宋体" w:hAnsi="宋体" w:cs="宋体"/>
                <w:b/>
                <w:bCs/>
                <w:kern w:val="0"/>
                <w:sz w:val="21"/>
                <w:szCs w:val="21"/>
              </w:rPr>
              <w:t>建设内容</w:t>
            </w:r>
          </w:p>
        </w:tc>
        <w:tc>
          <w:tcPr>
            <w:tcW w:w="1018" w:type="dxa"/>
            <w:vAlign w:val="center"/>
          </w:tcPr>
          <w:p>
            <w:pPr>
              <w:widowControl/>
              <w:ind w:firstLine="0" w:firstLineChars="0"/>
              <w:rPr>
                <w:rFonts w:ascii="宋体" w:hAnsi="宋体" w:cs="宋体"/>
                <w:b/>
                <w:bCs/>
                <w:kern w:val="0"/>
                <w:sz w:val="21"/>
                <w:szCs w:val="21"/>
              </w:rPr>
            </w:pPr>
            <w:r>
              <w:rPr>
                <w:rFonts w:hint="eastAsia" w:ascii="宋体" w:hAnsi="宋体" w:cs="宋体"/>
                <w:b/>
                <w:bCs/>
                <w:kern w:val="0"/>
                <w:sz w:val="21"/>
                <w:szCs w:val="21"/>
              </w:rPr>
              <w:t>工程量</w:t>
            </w:r>
          </w:p>
        </w:tc>
        <w:tc>
          <w:tcPr>
            <w:tcW w:w="803" w:type="dxa"/>
            <w:vAlign w:val="center"/>
          </w:tcPr>
          <w:p>
            <w:pPr>
              <w:widowControl/>
              <w:ind w:firstLine="0" w:firstLineChars="0"/>
              <w:rPr>
                <w:rFonts w:ascii="宋体" w:hAnsi="宋体" w:cs="宋体"/>
                <w:b/>
                <w:bCs/>
                <w:kern w:val="0"/>
                <w:sz w:val="21"/>
                <w:szCs w:val="21"/>
              </w:rPr>
            </w:pPr>
            <w:r>
              <w:rPr>
                <w:rFonts w:hint="eastAsia" w:ascii="宋体" w:hAnsi="宋体" w:cs="宋体"/>
                <w:b/>
                <w:bCs/>
                <w:kern w:val="0"/>
                <w:sz w:val="21"/>
                <w:szCs w:val="21"/>
              </w:rPr>
              <w:t>单位</w:t>
            </w:r>
          </w:p>
        </w:tc>
        <w:tc>
          <w:tcPr>
            <w:tcW w:w="1295" w:type="dxa"/>
            <w:vAlign w:val="center"/>
          </w:tcPr>
          <w:p>
            <w:pPr>
              <w:widowControl/>
              <w:ind w:firstLine="0" w:firstLineChars="0"/>
              <w:rPr>
                <w:rFonts w:ascii="宋体" w:hAnsi="宋体" w:cs="宋体"/>
                <w:b/>
                <w:bCs/>
                <w:kern w:val="0"/>
                <w:sz w:val="21"/>
                <w:szCs w:val="21"/>
              </w:rPr>
            </w:pPr>
            <w:r>
              <w:rPr>
                <w:rFonts w:hint="eastAsia" w:ascii="宋体" w:hAnsi="宋体" w:cs="宋体"/>
                <w:b/>
                <w:bCs/>
                <w:kern w:val="0"/>
                <w:sz w:val="21"/>
                <w:szCs w:val="21"/>
              </w:rPr>
              <w:t>总投入</w:t>
            </w:r>
          </w:p>
          <w:p>
            <w:pPr>
              <w:widowControl/>
              <w:ind w:firstLine="0" w:firstLineChars="0"/>
              <w:rPr>
                <w:rFonts w:ascii="宋体" w:hAnsi="宋体" w:cs="宋体"/>
                <w:b/>
                <w:bCs/>
                <w:kern w:val="0"/>
                <w:sz w:val="21"/>
                <w:szCs w:val="21"/>
              </w:rPr>
            </w:pPr>
            <w:r>
              <w:rPr>
                <w:rFonts w:hint="eastAsia" w:ascii="宋体" w:hAnsi="宋体" w:cs="宋体"/>
                <w:b/>
                <w:bCs/>
                <w:kern w:val="0"/>
                <w:sz w:val="21"/>
                <w:szCs w:val="21"/>
              </w:rPr>
              <w:t>（万元）</w:t>
            </w:r>
          </w:p>
        </w:tc>
        <w:tc>
          <w:tcPr>
            <w:tcW w:w="1633" w:type="dxa"/>
            <w:vAlign w:val="center"/>
          </w:tcPr>
          <w:p>
            <w:pPr>
              <w:widowControl/>
              <w:ind w:firstLine="0" w:firstLineChars="0"/>
              <w:rPr>
                <w:rFonts w:ascii="宋体" w:hAnsi="宋体" w:cs="宋体"/>
                <w:b/>
                <w:bCs/>
                <w:kern w:val="0"/>
                <w:sz w:val="21"/>
                <w:szCs w:val="21"/>
              </w:rPr>
            </w:pPr>
            <w:r>
              <w:rPr>
                <w:rFonts w:hint="eastAsia" w:ascii="宋体" w:hAnsi="宋体" w:cs="宋体"/>
                <w:b/>
                <w:bCs/>
                <w:kern w:val="0"/>
                <w:sz w:val="21"/>
                <w:szCs w:val="21"/>
              </w:rPr>
              <w:t>建设时间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507" w:type="dxa"/>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建设农业信息发布服务系统</w:t>
            </w:r>
          </w:p>
        </w:tc>
        <w:tc>
          <w:tcPr>
            <w:tcW w:w="2994" w:type="dxa"/>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包括信息发布服务系统平台建设、平台管理和电脑及配套设施</w:t>
            </w:r>
          </w:p>
        </w:tc>
        <w:tc>
          <w:tcPr>
            <w:tcW w:w="1018" w:type="dxa"/>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w:t>
            </w:r>
          </w:p>
        </w:tc>
        <w:tc>
          <w:tcPr>
            <w:tcW w:w="803" w:type="dxa"/>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项</w:t>
            </w:r>
          </w:p>
        </w:tc>
        <w:tc>
          <w:tcPr>
            <w:tcW w:w="1295" w:type="dxa"/>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300</w:t>
            </w:r>
          </w:p>
        </w:tc>
        <w:tc>
          <w:tcPr>
            <w:tcW w:w="1633" w:type="dxa"/>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2019-2022年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507" w:type="dxa"/>
            <w:vMerge w:val="restart"/>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建设市场与农技信息服务系统</w:t>
            </w:r>
          </w:p>
        </w:tc>
        <w:tc>
          <w:tcPr>
            <w:tcW w:w="2994" w:type="dxa"/>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包括市场与农技信息服务平台建设及配套设施</w:t>
            </w:r>
          </w:p>
        </w:tc>
        <w:tc>
          <w:tcPr>
            <w:tcW w:w="1018" w:type="dxa"/>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w:t>
            </w:r>
          </w:p>
        </w:tc>
        <w:tc>
          <w:tcPr>
            <w:tcW w:w="803" w:type="dxa"/>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项</w:t>
            </w:r>
          </w:p>
        </w:tc>
        <w:tc>
          <w:tcPr>
            <w:tcW w:w="1295" w:type="dxa"/>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200</w:t>
            </w:r>
          </w:p>
        </w:tc>
        <w:tc>
          <w:tcPr>
            <w:tcW w:w="1633" w:type="dxa"/>
            <w:vMerge w:val="restart"/>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2019-2022年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507" w:type="dxa"/>
            <w:vMerge w:val="continue"/>
            <w:vAlign w:val="center"/>
          </w:tcPr>
          <w:p>
            <w:pPr>
              <w:widowControl/>
              <w:ind w:firstLine="420"/>
              <w:jc w:val="center"/>
              <w:rPr>
                <w:rFonts w:ascii="宋体" w:hAnsi="宋体" w:cs="宋体"/>
                <w:kern w:val="0"/>
                <w:sz w:val="21"/>
                <w:szCs w:val="21"/>
              </w:rPr>
            </w:pPr>
          </w:p>
        </w:tc>
        <w:tc>
          <w:tcPr>
            <w:tcW w:w="2994" w:type="dxa"/>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实用信息采集、处理与发布</w:t>
            </w:r>
          </w:p>
        </w:tc>
        <w:tc>
          <w:tcPr>
            <w:tcW w:w="1018" w:type="dxa"/>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w:t>
            </w:r>
          </w:p>
        </w:tc>
        <w:tc>
          <w:tcPr>
            <w:tcW w:w="803" w:type="dxa"/>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项</w:t>
            </w:r>
          </w:p>
        </w:tc>
        <w:tc>
          <w:tcPr>
            <w:tcW w:w="1295" w:type="dxa"/>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50</w:t>
            </w:r>
          </w:p>
        </w:tc>
        <w:tc>
          <w:tcPr>
            <w:tcW w:w="1633" w:type="dxa"/>
            <w:vMerge w:val="continue"/>
            <w:vAlign w:val="center"/>
          </w:tcPr>
          <w:p>
            <w:pPr>
              <w:widowControl/>
              <w:ind w:firstLine="420"/>
              <w:jc w:val="center"/>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507" w:type="dxa"/>
            <w:vMerge w:val="restart"/>
            <w:vAlign w:val="center"/>
          </w:tcPr>
          <w:p>
            <w:pPr>
              <w:ind w:firstLine="0" w:firstLineChars="0"/>
              <w:rPr>
                <w:rFonts w:ascii="宋体" w:hAnsi="宋体" w:cs="宋体"/>
                <w:kern w:val="0"/>
                <w:sz w:val="21"/>
                <w:szCs w:val="21"/>
              </w:rPr>
            </w:pPr>
            <w:r>
              <w:rPr>
                <w:rFonts w:hint="eastAsia" w:ascii="宋体" w:hAnsi="宋体" w:cs="宋体"/>
                <w:kern w:val="0"/>
                <w:sz w:val="21"/>
                <w:szCs w:val="21"/>
              </w:rPr>
              <w:t>建设农业电子商务平台</w:t>
            </w:r>
          </w:p>
        </w:tc>
        <w:tc>
          <w:tcPr>
            <w:tcW w:w="2994" w:type="dxa"/>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包括电子商务平台建设及配套设施</w:t>
            </w:r>
          </w:p>
        </w:tc>
        <w:tc>
          <w:tcPr>
            <w:tcW w:w="1018" w:type="dxa"/>
            <w:vAlign w:val="center"/>
          </w:tcPr>
          <w:p>
            <w:pPr>
              <w:ind w:firstLine="0" w:firstLineChars="0"/>
              <w:jc w:val="center"/>
              <w:rPr>
                <w:rFonts w:ascii="宋体" w:hAnsi="宋体" w:cs="宋体"/>
                <w:sz w:val="21"/>
                <w:szCs w:val="21"/>
              </w:rPr>
            </w:pPr>
            <w:r>
              <w:rPr>
                <w:rFonts w:hint="eastAsia" w:ascii="宋体" w:hAnsi="宋体" w:cs="宋体"/>
                <w:sz w:val="21"/>
                <w:szCs w:val="21"/>
              </w:rPr>
              <w:t>1</w:t>
            </w:r>
          </w:p>
        </w:tc>
        <w:tc>
          <w:tcPr>
            <w:tcW w:w="803" w:type="dxa"/>
            <w:vAlign w:val="center"/>
          </w:tcPr>
          <w:p>
            <w:pPr>
              <w:ind w:firstLine="0" w:firstLineChars="0"/>
              <w:jc w:val="center"/>
              <w:rPr>
                <w:rFonts w:ascii="宋体" w:hAnsi="宋体" w:cs="宋体"/>
                <w:sz w:val="21"/>
                <w:szCs w:val="21"/>
              </w:rPr>
            </w:pPr>
            <w:r>
              <w:rPr>
                <w:rFonts w:hint="eastAsia" w:ascii="宋体" w:hAnsi="宋体" w:cs="宋体"/>
                <w:kern w:val="0"/>
                <w:sz w:val="21"/>
                <w:szCs w:val="21"/>
              </w:rPr>
              <w:t>项</w:t>
            </w:r>
          </w:p>
        </w:tc>
        <w:tc>
          <w:tcPr>
            <w:tcW w:w="1295" w:type="dxa"/>
            <w:vAlign w:val="center"/>
          </w:tcPr>
          <w:p>
            <w:pPr>
              <w:ind w:firstLine="0" w:firstLineChars="0"/>
              <w:jc w:val="center"/>
              <w:rPr>
                <w:rFonts w:ascii="宋体" w:hAnsi="宋体" w:cs="宋体"/>
                <w:sz w:val="21"/>
                <w:szCs w:val="21"/>
              </w:rPr>
            </w:pPr>
            <w:r>
              <w:rPr>
                <w:rFonts w:hint="eastAsia" w:ascii="宋体" w:hAnsi="宋体" w:cs="宋体"/>
                <w:sz w:val="21"/>
                <w:szCs w:val="21"/>
              </w:rPr>
              <w:t>200</w:t>
            </w:r>
          </w:p>
        </w:tc>
        <w:tc>
          <w:tcPr>
            <w:tcW w:w="1633" w:type="dxa"/>
            <w:vMerge w:val="restart"/>
            <w:vAlign w:val="center"/>
          </w:tcPr>
          <w:p>
            <w:pPr>
              <w:widowControl/>
              <w:ind w:firstLine="0" w:firstLineChars="0"/>
              <w:rPr>
                <w:rFonts w:ascii="宋体" w:hAnsi="宋体" w:cs="宋体"/>
                <w:b/>
                <w:kern w:val="0"/>
                <w:sz w:val="21"/>
                <w:szCs w:val="21"/>
              </w:rPr>
            </w:pPr>
            <w:r>
              <w:rPr>
                <w:rFonts w:hint="eastAsia" w:ascii="宋体" w:hAnsi="宋体" w:cs="宋体"/>
                <w:kern w:val="0"/>
                <w:sz w:val="21"/>
                <w:szCs w:val="21"/>
              </w:rPr>
              <w:t>2019-2022年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507" w:type="dxa"/>
            <w:vMerge w:val="continue"/>
            <w:vAlign w:val="center"/>
          </w:tcPr>
          <w:p>
            <w:pPr>
              <w:ind w:firstLine="420"/>
              <w:jc w:val="center"/>
              <w:rPr>
                <w:rFonts w:ascii="宋体" w:hAnsi="宋体" w:cs="宋体"/>
                <w:kern w:val="0"/>
                <w:sz w:val="21"/>
                <w:szCs w:val="21"/>
              </w:rPr>
            </w:pPr>
          </w:p>
        </w:tc>
        <w:tc>
          <w:tcPr>
            <w:tcW w:w="2994" w:type="dxa"/>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物流体系构建及相关配套</w:t>
            </w:r>
          </w:p>
        </w:tc>
        <w:tc>
          <w:tcPr>
            <w:tcW w:w="1018" w:type="dxa"/>
            <w:vAlign w:val="center"/>
          </w:tcPr>
          <w:p>
            <w:pPr>
              <w:ind w:firstLine="0" w:firstLineChars="0"/>
              <w:jc w:val="center"/>
              <w:rPr>
                <w:rFonts w:ascii="宋体" w:hAnsi="宋体" w:cs="宋体"/>
                <w:sz w:val="21"/>
                <w:szCs w:val="21"/>
              </w:rPr>
            </w:pPr>
            <w:r>
              <w:rPr>
                <w:rFonts w:hint="eastAsia" w:ascii="宋体" w:hAnsi="宋体" w:cs="宋体"/>
                <w:kern w:val="0"/>
                <w:sz w:val="21"/>
                <w:szCs w:val="21"/>
              </w:rPr>
              <w:t>1</w:t>
            </w:r>
          </w:p>
        </w:tc>
        <w:tc>
          <w:tcPr>
            <w:tcW w:w="803" w:type="dxa"/>
            <w:vAlign w:val="center"/>
          </w:tcPr>
          <w:p>
            <w:pPr>
              <w:ind w:firstLine="0" w:firstLineChars="0"/>
              <w:jc w:val="center"/>
              <w:rPr>
                <w:rFonts w:ascii="宋体" w:hAnsi="宋体" w:cs="宋体"/>
                <w:kern w:val="0"/>
                <w:sz w:val="21"/>
                <w:szCs w:val="21"/>
              </w:rPr>
            </w:pPr>
            <w:r>
              <w:rPr>
                <w:rFonts w:hint="eastAsia" w:ascii="宋体" w:hAnsi="宋体" w:cs="宋体"/>
                <w:kern w:val="0"/>
                <w:sz w:val="21"/>
                <w:szCs w:val="21"/>
              </w:rPr>
              <w:t>项</w:t>
            </w:r>
          </w:p>
        </w:tc>
        <w:tc>
          <w:tcPr>
            <w:tcW w:w="1295" w:type="dxa"/>
            <w:vAlign w:val="center"/>
          </w:tcPr>
          <w:p>
            <w:pPr>
              <w:ind w:firstLine="0" w:firstLineChars="0"/>
              <w:jc w:val="center"/>
              <w:rPr>
                <w:rFonts w:ascii="宋体" w:hAnsi="宋体" w:cs="宋体"/>
                <w:sz w:val="21"/>
                <w:szCs w:val="21"/>
              </w:rPr>
            </w:pPr>
            <w:r>
              <w:rPr>
                <w:rFonts w:hint="eastAsia" w:ascii="宋体" w:hAnsi="宋体" w:cs="宋体"/>
                <w:sz w:val="21"/>
                <w:szCs w:val="21"/>
              </w:rPr>
              <w:t>80</w:t>
            </w:r>
          </w:p>
        </w:tc>
        <w:tc>
          <w:tcPr>
            <w:tcW w:w="1633" w:type="dxa"/>
            <w:vMerge w:val="continue"/>
            <w:vAlign w:val="center"/>
          </w:tcPr>
          <w:p>
            <w:pPr>
              <w:widowControl/>
              <w:ind w:firstLine="420"/>
              <w:jc w:val="center"/>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1507" w:type="dxa"/>
            <w:tcBorders>
              <w:top w:val="single" w:color="auto" w:sz="4" w:space="0"/>
              <w:left w:val="single" w:color="auto" w:sz="4" w:space="0"/>
              <w:bottom w:val="single" w:color="auto" w:sz="4" w:space="0"/>
              <w:right w:val="single" w:color="auto" w:sz="4" w:space="0"/>
            </w:tcBorders>
            <w:vAlign w:val="center"/>
          </w:tcPr>
          <w:p>
            <w:pPr>
              <w:widowControl/>
              <w:ind w:firstLine="422"/>
              <w:rPr>
                <w:rFonts w:ascii="宋体" w:hAnsi="宋体" w:cs="宋体"/>
                <w:b/>
                <w:kern w:val="0"/>
                <w:sz w:val="21"/>
                <w:szCs w:val="21"/>
              </w:rPr>
            </w:pPr>
            <w:r>
              <w:rPr>
                <w:rFonts w:hint="eastAsia" w:ascii="宋体" w:hAnsi="宋体" w:cs="宋体"/>
                <w:b/>
                <w:kern w:val="0"/>
                <w:sz w:val="21"/>
                <w:szCs w:val="21"/>
              </w:rPr>
              <w:t>小计</w:t>
            </w:r>
          </w:p>
        </w:tc>
        <w:tc>
          <w:tcPr>
            <w:tcW w:w="2994" w:type="dxa"/>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宋体" w:hAnsi="宋体" w:cs="宋体"/>
                <w:b/>
                <w:kern w:val="0"/>
                <w:sz w:val="21"/>
                <w:szCs w:val="21"/>
              </w:rPr>
            </w:pPr>
          </w:p>
        </w:tc>
        <w:tc>
          <w:tcPr>
            <w:tcW w:w="1018" w:type="dxa"/>
            <w:tcBorders>
              <w:top w:val="single" w:color="auto" w:sz="4" w:space="0"/>
              <w:left w:val="single" w:color="auto" w:sz="4" w:space="0"/>
              <w:bottom w:val="single" w:color="auto" w:sz="4" w:space="0"/>
              <w:right w:val="single" w:color="auto" w:sz="4" w:space="0"/>
            </w:tcBorders>
          </w:tcPr>
          <w:p>
            <w:pPr>
              <w:ind w:firstLine="422"/>
              <w:jc w:val="center"/>
              <w:rPr>
                <w:rFonts w:ascii="宋体" w:hAnsi="宋体" w:cs="宋体"/>
                <w:b/>
                <w:sz w:val="21"/>
                <w:szCs w:val="21"/>
              </w:rPr>
            </w:pPr>
          </w:p>
        </w:tc>
        <w:tc>
          <w:tcPr>
            <w:tcW w:w="803" w:type="dxa"/>
            <w:tcBorders>
              <w:top w:val="single" w:color="auto" w:sz="4" w:space="0"/>
              <w:left w:val="single" w:color="auto" w:sz="4" w:space="0"/>
              <w:bottom w:val="single" w:color="auto" w:sz="4" w:space="0"/>
              <w:right w:val="single" w:color="auto" w:sz="4" w:space="0"/>
            </w:tcBorders>
          </w:tcPr>
          <w:p>
            <w:pPr>
              <w:ind w:firstLine="422"/>
              <w:jc w:val="center"/>
              <w:rPr>
                <w:rFonts w:ascii="宋体" w:hAnsi="宋体" w:cs="宋体"/>
                <w:b/>
                <w:sz w:val="21"/>
                <w:szCs w:val="21"/>
              </w:rPr>
            </w:pPr>
          </w:p>
        </w:tc>
        <w:tc>
          <w:tcPr>
            <w:tcW w:w="129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b/>
                <w:sz w:val="21"/>
                <w:szCs w:val="21"/>
              </w:rPr>
            </w:pPr>
            <w:r>
              <w:rPr>
                <w:rFonts w:hint="eastAsia" w:ascii="宋体" w:hAnsi="宋体" w:cs="宋体"/>
                <w:b/>
                <w:sz w:val="21"/>
                <w:szCs w:val="21"/>
              </w:rPr>
              <w:t>830</w:t>
            </w:r>
          </w:p>
        </w:tc>
        <w:tc>
          <w:tcPr>
            <w:tcW w:w="1633" w:type="dxa"/>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宋体" w:hAnsi="宋体" w:cs="宋体"/>
                <w:b/>
                <w:kern w:val="0"/>
                <w:sz w:val="21"/>
                <w:szCs w:val="21"/>
              </w:rPr>
            </w:pPr>
            <w:r>
              <w:rPr>
                <w:rFonts w:hint="eastAsia" w:ascii="宋体" w:hAnsi="宋体" w:cs="宋体"/>
                <w:b/>
                <w:kern w:val="0"/>
                <w:sz w:val="21"/>
                <w:szCs w:val="21"/>
              </w:rPr>
              <w:t>——</w:t>
            </w:r>
          </w:p>
        </w:tc>
      </w:tr>
    </w:tbl>
    <w:p>
      <w:pPr>
        <w:ind w:firstLine="560"/>
      </w:pPr>
    </w:p>
    <w:p>
      <w:pPr>
        <w:ind w:firstLine="560"/>
      </w:pPr>
    </w:p>
    <w:p>
      <w:pPr>
        <w:pStyle w:val="3"/>
        <w:ind w:firstLine="643"/>
      </w:pPr>
      <w:r>
        <w:fldChar w:fldCharType="begin"/>
      </w:r>
      <w:r>
        <w:instrText xml:space="preserve"> HYPERLINK \l "_Toc529132049" </w:instrText>
      </w:r>
      <w:r>
        <w:fldChar w:fldCharType="separate"/>
      </w:r>
      <w:bookmarkStart w:id="126" w:name="_Toc21594865"/>
      <w:r>
        <w:rPr>
          <w:rFonts w:hint="eastAsia"/>
        </w:rPr>
        <w:t>四、品牌建设与市场营销体系建设</w:t>
      </w:r>
      <w:bookmarkEnd w:id="126"/>
      <w:r>
        <w:rPr>
          <w:rFonts w:hint="eastAsia"/>
        </w:rPr>
        <w:fldChar w:fldCharType="end"/>
      </w:r>
    </w:p>
    <w:p>
      <w:pPr>
        <w:pStyle w:val="4"/>
        <w:spacing w:before="156" w:after="156"/>
        <w:ind w:firstLine="452"/>
      </w:pPr>
      <w:r>
        <w:rPr>
          <w:rFonts w:hint="eastAsia"/>
        </w:rPr>
        <w:t>（一）功能目标</w:t>
      </w:r>
    </w:p>
    <w:p>
      <w:pPr>
        <w:spacing w:line="360" w:lineRule="auto"/>
        <w:ind w:firstLine="560"/>
        <w:rPr>
          <w:rFonts w:ascii="宋体" w:hAnsi="宋体" w:cs="宋体"/>
          <w:szCs w:val="28"/>
        </w:rPr>
      </w:pPr>
      <w:r>
        <w:rPr>
          <w:rFonts w:hint="eastAsia" w:ascii="宋体" w:hAnsi="宋体" w:cs="宋体"/>
          <w:szCs w:val="28"/>
        </w:rPr>
        <w:t>充分发挥品牌引领作用，重点抓好“创新、品质、管理、诚信”等重点环节，完善市场营销体系，提高特色农业品牌的知名度和美誉度，扩大消费市场容量，不断提升产业效益。</w:t>
      </w:r>
    </w:p>
    <w:p>
      <w:pPr>
        <w:spacing w:line="360" w:lineRule="auto"/>
        <w:ind w:firstLine="560"/>
      </w:pPr>
    </w:p>
    <w:p>
      <w:pPr>
        <w:pStyle w:val="4"/>
        <w:spacing w:before="156" w:after="156"/>
        <w:ind w:firstLine="452"/>
        <w:rPr>
          <w:rFonts w:ascii="宋体" w:hAnsi="宋体" w:cs="宋体"/>
          <w:sz w:val="28"/>
          <w:szCs w:val="28"/>
        </w:rPr>
      </w:pPr>
      <w:r>
        <w:rPr>
          <w:rFonts w:hint="eastAsia"/>
        </w:rPr>
        <w:t>（二）建设任务</w:t>
      </w:r>
    </w:p>
    <w:p>
      <w:pPr>
        <w:ind w:firstLine="560"/>
        <w:rPr>
          <w:rFonts w:ascii="宋体" w:hAnsi="宋体" w:cs="宋体"/>
          <w:szCs w:val="28"/>
        </w:rPr>
      </w:pPr>
      <w:r>
        <w:rPr>
          <w:rFonts w:hint="eastAsia" w:ascii="宋体" w:hAnsi="宋体" w:cs="宋体"/>
          <w:szCs w:val="28"/>
        </w:rPr>
        <w:t>积极参与绿色食品、有机农产品、农产品地理标志等的申请认证和扩展。依托特优区创建，加强传统品牌的整合，集中建设一批叫得响、有影响的区域公用品牌作为特优区的“地域名片”，借助农产品博览会、农贸会、展销会等渠道，充分利用电商平台、线上线下融合、“互联网+”等各种新兴手段，加强特色农产品市场营销，扩大特色农产品市场占有率。</w:t>
      </w:r>
    </w:p>
    <w:p>
      <w:pPr>
        <w:ind w:firstLine="560"/>
        <w:rPr>
          <w:rFonts w:ascii="宋体" w:hAnsi="宋体" w:cs="宋体"/>
          <w:szCs w:val="28"/>
        </w:rPr>
      </w:pPr>
    </w:p>
    <w:p>
      <w:pPr>
        <w:pStyle w:val="4"/>
        <w:spacing w:before="156" w:after="156"/>
        <w:ind w:firstLine="452"/>
      </w:pPr>
      <w:r>
        <w:rPr>
          <w:rFonts w:hint="eastAsia"/>
        </w:rPr>
        <w:t>（三）重点建设项目</w:t>
      </w:r>
    </w:p>
    <w:p>
      <w:pPr>
        <w:ind w:firstLine="562"/>
        <w:rPr>
          <w:color w:val="0D0D0D" w:themeColor="text1" w:themeTint="F2"/>
          <w14:textFill>
            <w14:solidFill>
              <w14:schemeClr w14:val="tx1">
                <w14:lumMod w14:val="95000"/>
                <w14:lumOff w14:val="5000"/>
              </w14:schemeClr>
            </w14:solidFill>
          </w14:textFill>
        </w:rPr>
      </w:pPr>
      <w:r>
        <w:rPr>
          <w:b/>
          <w:color w:val="0D0D0D" w:themeColor="text1" w:themeTint="F2"/>
          <w14:textFill>
            <w14:solidFill>
              <w14:schemeClr w14:val="tx1">
                <w14:lumMod w14:val="95000"/>
                <w14:lumOff w14:val="5000"/>
              </w14:schemeClr>
            </w14:solidFill>
          </w14:textFill>
        </w:rPr>
        <w:t>1.</w:t>
      </w:r>
      <w:r>
        <w:rPr>
          <w:rFonts w:hint="eastAsia"/>
          <w:b/>
          <w:color w:val="0D0D0D" w:themeColor="text1" w:themeTint="F2"/>
          <w14:textFill>
            <w14:solidFill>
              <w14:schemeClr w14:val="tx1">
                <w14:lumMod w14:val="95000"/>
                <w14:lumOff w14:val="5000"/>
              </w14:schemeClr>
            </w14:solidFill>
          </w14:textFill>
        </w:rPr>
        <w:t>特色品牌培育</w:t>
      </w:r>
      <w:r>
        <w:rPr>
          <w:rFonts w:hint="eastAsia" w:ascii="宋体" w:hAnsi="宋体" w:cs="宋体"/>
          <w:b/>
          <w:szCs w:val="28"/>
        </w:rPr>
        <w:t>。</w:t>
      </w:r>
      <w:r>
        <w:rPr>
          <w:rFonts w:hint="eastAsia" w:ascii="宋体" w:hAnsi="宋体" w:cs="宋体"/>
          <w:szCs w:val="28"/>
        </w:rPr>
        <w:t>支持绿色食品、有机农产品、农产品地理标志等的申请认证和扩展。依托特优区创建，加强传统品牌的整合，积极打造兴安葡萄、银杏、甜玉米、柑桔、食用菌等农产品本地品牌，集中建设一批叫得响、有影响的区域公用品牌作为特优区的“地域名片”</w:t>
      </w:r>
      <w:r>
        <w:rPr>
          <w:rStyle w:val="20"/>
          <w:rFonts w:hint="eastAsia" w:ascii="宋体" w:hAnsi="宋体" w:cs="宋体"/>
          <w:color w:val="auto"/>
          <w:szCs w:val="28"/>
          <w:u w:val="none"/>
        </w:rPr>
        <w:t>，</w:t>
      </w:r>
      <w:r>
        <w:rPr>
          <w:rFonts w:hint="eastAsia" w:ascii="宋体" w:hAnsi="宋体" w:cs="宋体"/>
          <w:bCs/>
          <w:szCs w:val="28"/>
        </w:rPr>
        <w:t>强化品牌质量管控，出台葡萄、银杏、甜玉米、柑桔、食用菌种植技术标准，加强病虫害防控，建立产品质量追溯体系，对全县葡萄、银杏、甜玉米、柑桔、食用菌规模种植场，实行动态管理，积极申报绿色食品和有机食品认证，确保品牌“含金量”。</w:t>
      </w:r>
    </w:p>
    <w:p>
      <w:pPr>
        <w:ind w:firstLine="562"/>
        <w:rPr>
          <w:rFonts w:ascii="宋体" w:hAnsi="宋体" w:cs="宋体"/>
          <w:bCs/>
          <w:szCs w:val="28"/>
        </w:rPr>
      </w:pPr>
      <w:r>
        <w:rPr>
          <w:b/>
          <w:color w:val="0D0D0D" w:themeColor="text1" w:themeTint="F2"/>
          <w14:textFill>
            <w14:solidFill>
              <w14:schemeClr w14:val="tx1">
                <w14:lumMod w14:val="95000"/>
                <w14:lumOff w14:val="5000"/>
              </w14:schemeClr>
            </w14:solidFill>
          </w14:textFill>
        </w:rPr>
        <w:t>2.</w:t>
      </w:r>
      <w:r>
        <w:rPr>
          <w:rFonts w:hint="eastAsia"/>
          <w:b/>
          <w:color w:val="0D0D0D" w:themeColor="text1" w:themeTint="F2"/>
          <w14:textFill>
            <w14:solidFill>
              <w14:schemeClr w14:val="tx1">
                <w14:lumMod w14:val="95000"/>
                <w14:lumOff w14:val="5000"/>
              </w14:schemeClr>
            </w14:solidFill>
          </w14:textFill>
        </w:rPr>
        <w:t>建立奖励制度。</w:t>
      </w:r>
      <w:r>
        <w:rPr>
          <w:rFonts w:hint="eastAsia" w:ascii="宋体" w:hAnsi="宋体" w:cs="宋体"/>
          <w:bCs/>
          <w:szCs w:val="28"/>
        </w:rPr>
        <w:t>安排整合中央、市、县财政资金，加大奖补力度。对种植葡萄、银杏、甜玉米、柑桔、食用菌企业申报取得绿色食品认证的每家奖励5万元；取得有机食品认证的每家奖励8万元；实现全县60%以上种植葡萄、银杏、甜玉米、柑桔、食用菌企业取得绿色食品或有机食品认证。</w:t>
      </w:r>
    </w:p>
    <w:p>
      <w:pPr>
        <w:ind w:firstLine="562"/>
        <w:rPr>
          <w:rFonts w:ascii="宋体" w:hAnsi="宋体" w:cs="宋体"/>
          <w:bCs/>
          <w:szCs w:val="28"/>
        </w:rPr>
      </w:pPr>
      <w:r>
        <w:rPr>
          <w:b/>
          <w:color w:val="0D0D0D" w:themeColor="text1" w:themeTint="F2"/>
          <w14:textFill>
            <w14:solidFill>
              <w14:schemeClr w14:val="tx1">
                <w14:lumMod w14:val="95000"/>
                <w14:lumOff w14:val="5000"/>
              </w14:schemeClr>
            </w14:solidFill>
          </w14:textFill>
        </w:rPr>
        <w:t>3.</w:t>
      </w:r>
      <w:r>
        <w:rPr>
          <w:rFonts w:hint="eastAsia"/>
          <w:b/>
          <w:color w:val="0D0D0D" w:themeColor="text1" w:themeTint="F2"/>
          <w14:textFill>
            <w14:solidFill>
              <w14:schemeClr w14:val="tx1">
                <w14:lumMod w14:val="95000"/>
                <w14:lumOff w14:val="5000"/>
              </w14:schemeClr>
            </w14:solidFill>
          </w14:textFill>
        </w:rPr>
        <w:t>开展特色农产品品牌宣传推介</w:t>
      </w:r>
      <w:r>
        <w:rPr>
          <w:rFonts w:hint="eastAsia" w:ascii="宋体" w:hAnsi="宋体" w:cs="宋体"/>
          <w:b/>
          <w:bCs/>
          <w:szCs w:val="28"/>
        </w:rPr>
        <w:t>。</w:t>
      </w:r>
      <w:r>
        <w:rPr>
          <w:rFonts w:hint="eastAsia" w:ascii="宋体" w:hAnsi="宋体" w:cs="宋体"/>
          <w:bCs/>
          <w:szCs w:val="28"/>
        </w:rPr>
        <w:t>借助东盟博览会（南宁）、广西名特优农产品交易会（桂林）、农产品展销会、商贸会以及农业信息网络等平台，在省会以上城市举行1场以上宣传推介活动，加大兴安葡萄、银杏、甜玉米、柑桔、食用菌的宣传和推介力度，提升兴安县农产品品牌形象和市场地位，扩大品牌的知名度和影响力。</w:t>
      </w:r>
    </w:p>
    <w:p>
      <w:pPr>
        <w:ind w:firstLine="562"/>
        <w:rPr>
          <w:rFonts w:ascii="宋体" w:hAnsi="宋体" w:cs="宋体"/>
        </w:rPr>
      </w:pPr>
      <w:r>
        <w:rPr>
          <w:b/>
          <w:color w:val="0D0D0D" w:themeColor="text1" w:themeTint="F2"/>
          <w14:textFill>
            <w14:solidFill>
              <w14:schemeClr w14:val="tx1">
                <w14:lumMod w14:val="95000"/>
                <w14:lumOff w14:val="5000"/>
              </w14:schemeClr>
            </w14:solidFill>
          </w14:textFill>
        </w:rPr>
        <w:t>4.</w:t>
      </w:r>
      <w:r>
        <w:rPr>
          <w:rFonts w:hint="eastAsia"/>
          <w:b/>
          <w:color w:val="0D0D0D" w:themeColor="text1" w:themeTint="F2"/>
          <w14:textFill>
            <w14:solidFill>
              <w14:schemeClr w14:val="tx1">
                <w14:lumMod w14:val="95000"/>
                <w14:lumOff w14:val="5000"/>
              </w14:schemeClr>
            </w14:solidFill>
          </w14:textFill>
        </w:rPr>
        <w:t>完善市场体系建设</w:t>
      </w:r>
      <w:r>
        <w:rPr>
          <w:rFonts w:hint="eastAsia" w:ascii="宋体" w:hAnsi="宋体" w:cs="宋体"/>
          <w:b/>
        </w:rPr>
        <w:t>。</w:t>
      </w:r>
      <w:r>
        <w:rPr>
          <w:rFonts w:hint="eastAsia" w:ascii="宋体" w:hAnsi="宋体" w:cs="宋体"/>
        </w:rPr>
        <w:t>加快农产品市场建设步伐，培育一批运营高效、管理规范，能发挥骨干作用的龙头流通企业。通过借助参加各类农产品交易会、新闻发布会、展销会、东盟博览会、投资洽谈会等会展活动，加大兴安特色农产品区域公用品牌宣传推介力度，提高农产品品牌的知名度和影响力。推进农超对接、电子商务等现代营销模式。加快</w:t>
      </w:r>
      <w:r>
        <w:rPr>
          <w:rFonts w:hint="eastAsia" w:ascii="宋体" w:hAnsi="宋体" w:cs="宋体"/>
          <w:bCs/>
          <w:szCs w:val="28"/>
        </w:rPr>
        <w:t>葡萄、银杏、甜玉米、柑桔、食用菌</w:t>
      </w:r>
      <w:r>
        <w:rPr>
          <w:rFonts w:hint="eastAsia" w:ascii="宋体" w:hAnsi="宋体" w:cs="宋体"/>
        </w:rPr>
        <w:t>采后商品化处理基础设施建设，提高</w:t>
      </w:r>
      <w:r>
        <w:rPr>
          <w:rFonts w:hint="eastAsia" w:ascii="宋体" w:hAnsi="宋体" w:cs="宋体"/>
          <w:bCs/>
          <w:szCs w:val="28"/>
        </w:rPr>
        <w:t>葡萄、银杏、甜玉米、柑桔、食用菌</w:t>
      </w:r>
      <w:r>
        <w:rPr>
          <w:rFonts w:hint="eastAsia" w:ascii="宋体" w:hAnsi="宋体" w:cs="宋体"/>
        </w:rPr>
        <w:t>分级、清洗、包装、预冷等商品化处理水平，增强市场竞争力。</w:t>
      </w:r>
    </w:p>
    <w:p>
      <w:pPr>
        <w:ind w:firstLine="562"/>
        <w:rPr>
          <w:rFonts w:ascii="宋体" w:hAnsi="宋体" w:cs="宋体"/>
          <w:b/>
          <w:sz w:val="24"/>
        </w:rPr>
      </w:pPr>
      <w:r>
        <w:rPr>
          <w:b/>
          <w:color w:val="0D0D0D" w:themeColor="text1" w:themeTint="F2"/>
          <w14:textFill>
            <w14:solidFill>
              <w14:schemeClr w14:val="tx1">
                <w14:lumMod w14:val="95000"/>
                <w14:lumOff w14:val="5000"/>
              </w14:schemeClr>
            </w14:solidFill>
          </w14:textFill>
        </w:rPr>
        <w:t>5.</w:t>
      </w:r>
      <w:r>
        <w:rPr>
          <w:rFonts w:hint="eastAsia"/>
          <w:b/>
          <w:color w:val="0D0D0D" w:themeColor="text1" w:themeTint="F2"/>
          <w14:textFill>
            <w14:solidFill>
              <w14:schemeClr w14:val="tx1">
                <w14:lumMod w14:val="95000"/>
                <w14:lumOff w14:val="5000"/>
              </w14:schemeClr>
            </w14:solidFill>
          </w14:textFill>
        </w:rPr>
        <w:t>电视广告推广。</w:t>
      </w:r>
      <w:r>
        <w:rPr>
          <w:rFonts w:hint="eastAsia" w:ascii="宋体" w:hAnsi="宋体" w:cs="宋体"/>
        </w:rPr>
        <w:t>寻找有名气的广告设计公司为兴安县特优区品种设计专属个性推广广告，在具有高人气和高收视率的电台卫视进行投资播放，如具有高收视率的中央卫视，根据其广告位每秒约3万元的费用，投资30万元购买央视广告位，此外同时在全国其他人气旺盛的电台进行广告位购买宣传，预计在广告宣传上总投入200万元，以实现全方位大范围地推兴安县特色农产品品牌</w:t>
      </w:r>
      <w:r>
        <w:rPr>
          <w:rFonts w:hint="eastAsia" w:ascii="宋体" w:hAnsi="宋体" w:cs="宋体"/>
          <w:szCs w:val="28"/>
        </w:rPr>
        <w:t>。具体重点建设项目与投资估算如下表8-4所示：</w:t>
      </w:r>
    </w:p>
    <w:p>
      <w:pPr>
        <w:spacing w:before="156" w:beforeLines="50" w:after="156" w:afterLines="50"/>
        <w:ind w:firstLine="482"/>
        <w:jc w:val="center"/>
        <w:rPr>
          <w:rFonts w:ascii="宋体" w:hAnsi="宋体" w:cs="宋体"/>
          <w:sz w:val="24"/>
        </w:rPr>
      </w:pPr>
      <w:r>
        <w:rPr>
          <w:rFonts w:hint="eastAsia" w:ascii="宋体" w:hAnsi="宋体" w:cs="宋体"/>
          <w:b/>
          <w:sz w:val="24"/>
        </w:rPr>
        <w:t>表8-4  品牌建设与市场营销体系建设重点项目表</w:t>
      </w:r>
    </w:p>
    <w:tbl>
      <w:tblPr>
        <w:tblStyle w:val="15"/>
        <w:tblW w:w="9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7"/>
        <w:gridCol w:w="3555"/>
        <w:gridCol w:w="856"/>
        <w:gridCol w:w="902"/>
        <w:gridCol w:w="1058"/>
        <w:gridCol w:w="1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blHeader/>
          <w:jc w:val="center"/>
        </w:trPr>
        <w:tc>
          <w:tcPr>
            <w:tcW w:w="1557" w:type="dxa"/>
            <w:vAlign w:val="center"/>
          </w:tcPr>
          <w:p>
            <w:pPr>
              <w:widowControl/>
              <w:ind w:right="-358" w:rightChars="-128" w:firstLine="211" w:firstLineChars="100"/>
              <w:rPr>
                <w:rFonts w:ascii="宋体" w:hAnsi="宋体" w:cs="宋体"/>
                <w:b/>
                <w:bCs/>
                <w:kern w:val="0"/>
                <w:sz w:val="21"/>
                <w:szCs w:val="21"/>
              </w:rPr>
            </w:pPr>
            <w:r>
              <w:rPr>
                <w:rFonts w:hint="eastAsia" w:ascii="宋体" w:hAnsi="宋体" w:cs="宋体"/>
                <w:b/>
                <w:bCs/>
                <w:kern w:val="0"/>
                <w:sz w:val="21"/>
                <w:szCs w:val="21"/>
              </w:rPr>
              <w:t>项目名称</w:t>
            </w:r>
          </w:p>
        </w:tc>
        <w:tc>
          <w:tcPr>
            <w:tcW w:w="3555" w:type="dxa"/>
            <w:vAlign w:val="center"/>
          </w:tcPr>
          <w:p>
            <w:pPr>
              <w:widowControl/>
              <w:ind w:firstLine="422"/>
              <w:jc w:val="center"/>
              <w:rPr>
                <w:rFonts w:ascii="宋体" w:hAnsi="宋体" w:cs="宋体"/>
                <w:b/>
                <w:bCs/>
                <w:kern w:val="0"/>
                <w:sz w:val="21"/>
                <w:szCs w:val="21"/>
              </w:rPr>
            </w:pPr>
            <w:r>
              <w:rPr>
                <w:rFonts w:hint="eastAsia" w:ascii="宋体" w:hAnsi="宋体" w:cs="宋体"/>
                <w:b/>
                <w:bCs/>
                <w:kern w:val="0"/>
                <w:sz w:val="21"/>
                <w:szCs w:val="21"/>
              </w:rPr>
              <w:t>建设内容</w:t>
            </w:r>
          </w:p>
        </w:tc>
        <w:tc>
          <w:tcPr>
            <w:tcW w:w="856" w:type="dxa"/>
            <w:vAlign w:val="center"/>
          </w:tcPr>
          <w:p>
            <w:pPr>
              <w:widowControl/>
              <w:ind w:firstLine="0" w:firstLineChars="0"/>
              <w:rPr>
                <w:rFonts w:ascii="宋体" w:hAnsi="宋体" w:cs="宋体"/>
                <w:b/>
                <w:bCs/>
                <w:kern w:val="0"/>
                <w:sz w:val="21"/>
                <w:szCs w:val="21"/>
              </w:rPr>
            </w:pPr>
            <w:r>
              <w:rPr>
                <w:rFonts w:hint="eastAsia" w:ascii="宋体" w:hAnsi="宋体" w:cs="宋体"/>
                <w:b/>
                <w:bCs/>
                <w:kern w:val="0"/>
                <w:sz w:val="21"/>
                <w:szCs w:val="21"/>
              </w:rPr>
              <w:t>工程量</w:t>
            </w:r>
          </w:p>
        </w:tc>
        <w:tc>
          <w:tcPr>
            <w:tcW w:w="902" w:type="dxa"/>
            <w:vAlign w:val="center"/>
          </w:tcPr>
          <w:p>
            <w:pPr>
              <w:widowControl/>
              <w:ind w:firstLine="0" w:firstLineChars="0"/>
              <w:rPr>
                <w:rFonts w:ascii="宋体" w:hAnsi="宋体" w:cs="宋体"/>
                <w:b/>
                <w:bCs/>
                <w:kern w:val="0"/>
                <w:sz w:val="21"/>
                <w:szCs w:val="21"/>
              </w:rPr>
            </w:pPr>
            <w:r>
              <w:rPr>
                <w:rFonts w:hint="eastAsia" w:ascii="宋体" w:hAnsi="宋体" w:cs="宋体"/>
                <w:b/>
                <w:bCs/>
                <w:kern w:val="0"/>
                <w:sz w:val="21"/>
                <w:szCs w:val="21"/>
              </w:rPr>
              <w:t>单位</w:t>
            </w:r>
          </w:p>
        </w:tc>
        <w:tc>
          <w:tcPr>
            <w:tcW w:w="1058" w:type="dxa"/>
            <w:vAlign w:val="center"/>
          </w:tcPr>
          <w:p>
            <w:pPr>
              <w:widowControl/>
              <w:ind w:firstLine="0" w:firstLineChars="0"/>
              <w:rPr>
                <w:rFonts w:ascii="宋体" w:hAnsi="宋体" w:cs="宋体"/>
                <w:b/>
                <w:bCs/>
                <w:kern w:val="0"/>
                <w:sz w:val="21"/>
                <w:szCs w:val="21"/>
              </w:rPr>
            </w:pPr>
            <w:r>
              <w:rPr>
                <w:rFonts w:hint="eastAsia" w:ascii="宋体" w:hAnsi="宋体" w:cs="宋体"/>
                <w:b/>
                <w:bCs/>
                <w:kern w:val="0"/>
                <w:sz w:val="21"/>
                <w:szCs w:val="21"/>
              </w:rPr>
              <w:t>总投入</w:t>
            </w:r>
          </w:p>
          <w:p>
            <w:pPr>
              <w:widowControl/>
              <w:ind w:firstLine="0" w:firstLineChars="0"/>
              <w:rPr>
                <w:rFonts w:ascii="宋体" w:hAnsi="宋体" w:cs="宋体"/>
                <w:b/>
                <w:bCs/>
                <w:kern w:val="0"/>
                <w:sz w:val="21"/>
                <w:szCs w:val="21"/>
              </w:rPr>
            </w:pPr>
            <w:r>
              <w:rPr>
                <w:rFonts w:hint="eastAsia" w:ascii="宋体" w:hAnsi="宋体" w:cs="宋体"/>
                <w:b/>
                <w:bCs/>
                <w:kern w:val="0"/>
                <w:sz w:val="21"/>
                <w:szCs w:val="21"/>
              </w:rPr>
              <w:t>（万元）</w:t>
            </w:r>
          </w:p>
        </w:tc>
        <w:tc>
          <w:tcPr>
            <w:tcW w:w="1594" w:type="dxa"/>
            <w:vAlign w:val="center"/>
          </w:tcPr>
          <w:p>
            <w:pPr>
              <w:widowControl/>
              <w:ind w:firstLine="0" w:firstLineChars="0"/>
              <w:rPr>
                <w:rFonts w:ascii="宋体" w:hAnsi="宋体" w:cs="宋体"/>
                <w:b/>
                <w:bCs/>
                <w:kern w:val="0"/>
                <w:sz w:val="21"/>
                <w:szCs w:val="21"/>
              </w:rPr>
            </w:pPr>
            <w:r>
              <w:rPr>
                <w:rFonts w:hint="eastAsia" w:ascii="宋体" w:hAnsi="宋体" w:cs="宋体"/>
                <w:b/>
                <w:bCs/>
                <w:kern w:val="0"/>
                <w:sz w:val="21"/>
                <w:szCs w:val="21"/>
              </w:rPr>
              <w:t>建设时间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557" w:type="dxa"/>
            <w:vAlign w:val="center"/>
          </w:tcPr>
          <w:p>
            <w:pPr>
              <w:widowControl/>
              <w:ind w:firstLine="0" w:firstLineChars="0"/>
              <w:rPr>
                <w:rFonts w:ascii="宋体" w:hAnsi="宋体" w:cs="宋体"/>
                <w:kern w:val="0"/>
                <w:sz w:val="21"/>
                <w:szCs w:val="21"/>
              </w:rPr>
            </w:pPr>
            <w:r>
              <w:rPr>
                <w:rFonts w:hint="eastAsia" w:ascii="宋体" w:hAnsi="宋体" w:cs="宋体"/>
                <w:sz w:val="21"/>
                <w:szCs w:val="21"/>
              </w:rPr>
              <w:t>特色品牌培育</w:t>
            </w:r>
          </w:p>
        </w:tc>
        <w:tc>
          <w:tcPr>
            <w:tcW w:w="3555" w:type="dxa"/>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品牌打造与管理</w:t>
            </w:r>
          </w:p>
        </w:tc>
        <w:tc>
          <w:tcPr>
            <w:tcW w:w="856" w:type="dxa"/>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w:t>
            </w:r>
          </w:p>
        </w:tc>
        <w:tc>
          <w:tcPr>
            <w:tcW w:w="902" w:type="dxa"/>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项</w:t>
            </w:r>
          </w:p>
        </w:tc>
        <w:tc>
          <w:tcPr>
            <w:tcW w:w="1058" w:type="dxa"/>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300</w:t>
            </w:r>
          </w:p>
        </w:tc>
        <w:tc>
          <w:tcPr>
            <w:tcW w:w="1594" w:type="dxa"/>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2019-2022年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557" w:type="dxa"/>
            <w:vAlign w:val="center"/>
          </w:tcPr>
          <w:p>
            <w:pPr>
              <w:widowControl/>
              <w:ind w:firstLine="0" w:firstLineChars="0"/>
              <w:rPr>
                <w:rFonts w:ascii="宋体" w:hAnsi="宋体" w:cs="宋体"/>
                <w:kern w:val="0"/>
                <w:sz w:val="21"/>
                <w:szCs w:val="21"/>
              </w:rPr>
            </w:pPr>
            <w:r>
              <w:rPr>
                <w:rFonts w:hint="eastAsia" w:ascii="宋体" w:hAnsi="宋体" w:cs="宋体"/>
                <w:sz w:val="21"/>
                <w:szCs w:val="21"/>
              </w:rPr>
              <w:t>建立奖励制度</w:t>
            </w:r>
          </w:p>
        </w:tc>
        <w:tc>
          <w:tcPr>
            <w:tcW w:w="3555" w:type="dxa"/>
            <w:vAlign w:val="center"/>
          </w:tcPr>
          <w:p>
            <w:pPr>
              <w:widowControl/>
              <w:ind w:firstLine="0" w:firstLineChars="0"/>
              <w:rPr>
                <w:rFonts w:ascii="宋体" w:hAnsi="宋体" w:cs="宋体"/>
                <w:kern w:val="0"/>
                <w:sz w:val="21"/>
                <w:szCs w:val="21"/>
              </w:rPr>
            </w:pPr>
            <w:r>
              <w:rPr>
                <w:rFonts w:hint="eastAsia" w:ascii="宋体" w:hAnsi="宋体" w:cs="宋体"/>
                <w:sz w:val="21"/>
                <w:szCs w:val="21"/>
              </w:rPr>
              <w:t>构建完善品牌，实施绿色食品、有机食品认证奖补制度</w:t>
            </w:r>
          </w:p>
        </w:tc>
        <w:tc>
          <w:tcPr>
            <w:tcW w:w="856" w:type="dxa"/>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w:t>
            </w:r>
          </w:p>
        </w:tc>
        <w:tc>
          <w:tcPr>
            <w:tcW w:w="902" w:type="dxa"/>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项</w:t>
            </w:r>
          </w:p>
        </w:tc>
        <w:tc>
          <w:tcPr>
            <w:tcW w:w="1058" w:type="dxa"/>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150</w:t>
            </w:r>
          </w:p>
        </w:tc>
        <w:tc>
          <w:tcPr>
            <w:tcW w:w="1594" w:type="dxa"/>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2019-2022年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1557" w:type="dxa"/>
            <w:vMerge w:val="restart"/>
            <w:vAlign w:val="center"/>
          </w:tcPr>
          <w:p>
            <w:pPr>
              <w:ind w:firstLine="0" w:firstLineChars="0"/>
              <w:rPr>
                <w:rFonts w:ascii="宋体" w:hAnsi="宋体" w:cs="宋体"/>
                <w:kern w:val="0"/>
                <w:sz w:val="21"/>
                <w:szCs w:val="21"/>
              </w:rPr>
            </w:pPr>
            <w:r>
              <w:rPr>
                <w:rFonts w:hint="eastAsia" w:ascii="宋体" w:hAnsi="宋体" w:cs="宋体"/>
                <w:sz w:val="21"/>
                <w:szCs w:val="21"/>
              </w:rPr>
              <w:t>市场营销体系</w:t>
            </w:r>
          </w:p>
        </w:tc>
        <w:tc>
          <w:tcPr>
            <w:tcW w:w="3555" w:type="dxa"/>
            <w:vAlign w:val="center"/>
          </w:tcPr>
          <w:p>
            <w:pPr>
              <w:widowControl/>
              <w:ind w:firstLine="0" w:firstLineChars="0"/>
              <w:rPr>
                <w:rFonts w:ascii="宋体" w:hAnsi="宋体" w:cs="宋体"/>
                <w:sz w:val="21"/>
                <w:szCs w:val="21"/>
              </w:rPr>
            </w:pPr>
            <w:r>
              <w:rPr>
                <w:rFonts w:hint="eastAsia" w:ascii="宋体" w:hAnsi="宋体" w:cs="宋体"/>
                <w:sz w:val="21"/>
                <w:szCs w:val="21"/>
              </w:rPr>
              <w:t>积极开展农产品博览会、农贸会、展销会等农产品宣传活动</w:t>
            </w:r>
          </w:p>
        </w:tc>
        <w:tc>
          <w:tcPr>
            <w:tcW w:w="856" w:type="dxa"/>
            <w:vAlign w:val="center"/>
          </w:tcPr>
          <w:p>
            <w:pPr>
              <w:widowControl/>
              <w:ind w:firstLine="0" w:firstLineChars="0"/>
              <w:jc w:val="center"/>
              <w:rPr>
                <w:rFonts w:ascii="宋体" w:hAnsi="宋体" w:cs="宋体"/>
                <w:sz w:val="21"/>
                <w:szCs w:val="21"/>
              </w:rPr>
            </w:pPr>
            <w:r>
              <w:rPr>
                <w:rFonts w:hint="eastAsia" w:ascii="宋体" w:hAnsi="宋体" w:cs="宋体"/>
                <w:sz w:val="21"/>
                <w:szCs w:val="21"/>
              </w:rPr>
              <w:t>1</w:t>
            </w:r>
          </w:p>
        </w:tc>
        <w:tc>
          <w:tcPr>
            <w:tcW w:w="902" w:type="dxa"/>
            <w:vAlign w:val="center"/>
          </w:tcPr>
          <w:p>
            <w:pPr>
              <w:ind w:firstLine="0" w:firstLineChars="0"/>
              <w:jc w:val="center"/>
              <w:rPr>
                <w:rFonts w:ascii="宋体" w:hAnsi="宋体" w:cs="宋体"/>
                <w:sz w:val="21"/>
                <w:szCs w:val="21"/>
              </w:rPr>
            </w:pPr>
            <w:r>
              <w:rPr>
                <w:rFonts w:hint="eastAsia" w:ascii="宋体" w:hAnsi="宋体" w:cs="宋体"/>
                <w:kern w:val="0"/>
                <w:sz w:val="21"/>
                <w:szCs w:val="21"/>
              </w:rPr>
              <w:t>项</w:t>
            </w:r>
          </w:p>
        </w:tc>
        <w:tc>
          <w:tcPr>
            <w:tcW w:w="1058" w:type="dxa"/>
            <w:vAlign w:val="center"/>
          </w:tcPr>
          <w:p>
            <w:pPr>
              <w:ind w:firstLine="0" w:firstLineChars="0"/>
              <w:jc w:val="center"/>
              <w:rPr>
                <w:rFonts w:ascii="宋体" w:hAnsi="宋体" w:cs="宋体"/>
                <w:sz w:val="21"/>
                <w:szCs w:val="21"/>
              </w:rPr>
            </w:pPr>
            <w:r>
              <w:rPr>
                <w:rFonts w:hint="eastAsia" w:ascii="宋体" w:hAnsi="宋体" w:cs="宋体"/>
                <w:sz w:val="21"/>
                <w:szCs w:val="21"/>
              </w:rPr>
              <w:t>200</w:t>
            </w:r>
          </w:p>
        </w:tc>
        <w:tc>
          <w:tcPr>
            <w:tcW w:w="1594" w:type="dxa"/>
            <w:vMerge w:val="restart"/>
            <w:vAlign w:val="center"/>
          </w:tcPr>
          <w:p>
            <w:pPr>
              <w:widowControl/>
              <w:ind w:firstLine="0" w:firstLineChars="0"/>
              <w:rPr>
                <w:rFonts w:ascii="宋体" w:hAnsi="宋体" w:cs="宋体"/>
                <w:b/>
                <w:kern w:val="0"/>
                <w:sz w:val="21"/>
                <w:szCs w:val="21"/>
              </w:rPr>
            </w:pPr>
            <w:r>
              <w:rPr>
                <w:rFonts w:hint="eastAsia" w:ascii="宋体" w:hAnsi="宋体" w:cs="宋体"/>
                <w:kern w:val="0"/>
                <w:sz w:val="21"/>
                <w:szCs w:val="21"/>
              </w:rPr>
              <w:t>2019-2022年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557" w:type="dxa"/>
            <w:vMerge w:val="continue"/>
            <w:vAlign w:val="center"/>
          </w:tcPr>
          <w:p>
            <w:pPr>
              <w:ind w:firstLine="0" w:firstLineChars="0"/>
              <w:rPr>
                <w:rFonts w:ascii="宋体" w:hAnsi="宋体" w:cs="宋体"/>
                <w:sz w:val="21"/>
                <w:szCs w:val="21"/>
              </w:rPr>
            </w:pPr>
          </w:p>
        </w:tc>
        <w:tc>
          <w:tcPr>
            <w:tcW w:w="3555" w:type="dxa"/>
            <w:vAlign w:val="center"/>
          </w:tcPr>
          <w:p>
            <w:pPr>
              <w:widowControl/>
              <w:ind w:firstLine="0" w:firstLineChars="0"/>
              <w:rPr>
                <w:rFonts w:ascii="宋体" w:hAnsi="宋体" w:cs="宋体"/>
                <w:sz w:val="21"/>
                <w:szCs w:val="21"/>
              </w:rPr>
            </w:pPr>
            <w:r>
              <w:rPr>
                <w:rFonts w:hint="eastAsia" w:ascii="宋体" w:hAnsi="宋体" w:cs="宋体"/>
                <w:kern w:val="0"/>
                <w:sz w:val="21"/>
                <w:szCs w:val="21"/>
              </w:rPr>
              <w:t>支持奖励电商平台、物流等企业发展</w:t>
            </w:r>
          </w:p>
        </w:tc>
        <w:tc>
          <w:tcPr>
            <w:tcW w:w="856" w:type="dxa"/>
            <w:vAlign w:val="center"/>
          </w:tcPr>
          <w:p>
            <w:pPr>
              <w:ind w:firstLine="0" w:firstLineChars="0"/>
              <w:jc w:val="center"/>
              <w:rPr>
                <w:rFonts w:ascii="宋体" w:hAnsi="宋体" w:cs="宋体"/>
                <w:sz w:val="21"/>
                <w:szCs w:val="21"/>
              </w:rPr>
            </w:pPr>
            <w:r>
              <w:rPr>
                <w:rFonts w:hint="eastAsia" w:ascii="宋体" w:hAnsi="宋体" w:cs="宋体"/>
                <w:kern w:val="0"/>
                <w:sz w:val="21"/>
                <w:szCs w:val="21"/>
              </w:rPr>
              <w:t>1</w:t>
            </w:r>
          </w:p>
        </w:tc>
        <w:tc>
          <w:tcPr>
            <w:tcW w:w="902" w:type="dxa"/>
            <w:vAlign w:val="center"/>
          </w:tcPr>
          <w:p>
            <w:pPr>
              <w:ind w:firstLine="0" w:firstLineChars="0"/>
              <w:jc w:val="center"/>
              <w:rPr>
                <w:rFonts w:ascii="宋体" w:hAnsi="宋体" w:cs="宋体"/>
                <w:kern w:val="0"/>
                <w:sz w:val="21"/>
                <w:szCs w:val="21"/>
              </w:rPr>
            </w:pPr>
            <w:r>
              <w:rPr>
                <w:rFonts w:hint="eastAsia" w:ascii="宋体" w:hAnsi="宋体" w:cs="宋体"/>
                <w:kern w:val="0"/>
                <w:sz w:val="21"/>
                <w:szCs w:val="21"/>
              </w:rPr>
              <w:t>项</w:t>
            </w:r>
          </w:p>
        </w:tc>
        <w:tc>
          <w:tcPr>
            <w:tcW w:w="1058" w:type="dxa"/>
            <w:vAlign w:val="center"/>
          </w:tcPr>
          <w:p>
            <w:pPr>
              <w:ind w:firstLine="0" w:firstLineChars="0"/>
              <w:jc w:val="center"/>
              <w:rPr>
                <w:rFonts w:ascii="宋体" w:hAnsi="宋体" w:cs="宋体"/>
                <w:sz w:val="21"/>
                <w:szCs w:val="21"/>
              </w:rPr>
            </w:pPr>
            <w:r>
              <w:rPr>
                <w:rFonts w:hint="eastAsia" w:ascii="宋体" w:hAnsi="宋体" w:cs="宋体"/>
                <w:sz w:val="21"/>
                <w:szCs w:val="21"/>
              </w:rPr>
              <w:t>350</w:t>
            </w:r>
          </w:p>
        </w:tc>
        <w:tc>
          <w:tcPr>
            <w:tcW w:w="1594" w:type="dxa"/>
            <w:vMerge w:val="continue"/>
            <w:vAlign w:val="center"/>
          </w:tcPr>
          <w:p>
            <w:pPr>
              <w:widowControl/>
              <w:ind w:firstLine="0" w:firstLineChars="0"/>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57" w:type="dxa"/>
            <w:vMerge w:val="continue"/>
            <w:vAlign w:val="center"/>
          </w:tcPr>
          <w:p>
            <w:pPr>
              <w:ind w:firstLine="420"/>
              <w:jc w:val="center"/>
              <w:rPr>
                <w:rFonts w:ascii="宋体" w:hAnsi="宋体" w:cs="宋体"/>
                <w:kern w:val="0"/>
                <w:sz w:val="21"/>
                <w:szCs w:val="21"/>
              </w:rPr>
            </w:pPr>
          </w:p>
        </w:tc>
        <w:tc>
          <w:tcPr>
            <w:tcW w:w="3555" w:type="dxa"/>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电视广告推广</w:t>
            </w:r>
          </w:p>
        </w:tc>
        <w:tc>
          <w:tcPr>
            <w:tcW w:w="856" w:type="dxa"/>
            <w:vAlign w:val="center"/>
          </w:tcPr>
          <w:p>
            <w:pPr>
              <w:ind w:firstLine="0" w:firstLineChars="0"/>
              <w:jc w:val="center"/>
              <w:rPr>
                <w:rFonts w:ascii="宋体" w:hAnsi="宋体" w:cs="宋体"/>
                <w:sz w:val="21"/>
                <w:szCs w:val="21"/>
              </w:rPr>
            </w:pPr>
            <w:r>
              <w:rPr>
                <w:rFonts w:hint="eastAsia" w:ascii="宋体" w:hAnsi="宋体" w:cs="宋体"/>
                <w:kern w:val="0"/>
                <w:sz w:val="21"/>
                <w:szCs w:val="21"/>
              </w:rPr>
              <w:t>1</w:t>
            </w:r>
          </w:p>
        </w:tc>
        <w:tc>
          <w:tcPr>
            <w:tcW w:w="902" w:type="dxa"/>
            <w:vAlign w:val="center"/>
          </w:tcPr>
          <w:p>
            <w:pPr>
              <w:ind w:firstLine="0" w:firstLineChars="0"/>
              <w:jc w:val="center"/>
              <w:rPr>
                <w:rFonts w:ascii="宋体" w:hAnsi="宋体" w:cs="宋体"/>
                <w:kern w:val="0"/>
                <w:sz w:val="21"/>
                <w:szCs w:val="21"/>
              </w:rPr>
            </w:pPr>
            <w:r>
              <w:rPr>
                <w:rFonts w:hint="eastAsia" w:ascii="宋体" w:hAnsi="宋体" w:cs="宋体"/>
                <w:kern w:val="0"/>
                <w:sz w:val="21"/>
                <w:szCs w:val="21"/>
              </w:rPr>
              <w:t>项</w:t>
            </w:r>
          </w:p>
        </w:tc>
        <w:tc>
          <w:tcPr>
            <w:tcW w:w="1058" w:type="dxa"/>
            <w:vAlign w:val="center"/>
          </w:tcPr>
          <w:p>
            <w:pPr>
              <w:ind w:firstLine="0" w:firstLineChars="0"/>
              <w:jc w:val="center"/>
              <w:rPr>
                <w:rFonts w:ascii="宋体" w:hAnsi="宋体" w:cs="宋体"/>
                <w:sz w:val="21"/>
                <w:szCs w:val="21"/>
              </w:rPr>
            </w:pPr>
            <w:r>
              <w:rPr>
                <w:rFonts w:hint="eastAsia" w:ascii="宋体" w:hAnsi="宋体" w:cs="宋体"/>
                <w:sz w:val="21"/>
                <w:szCs w:val="21"/>
              </w:rPr>
              <w:t>200</w:t>
            </w:r>
          </w:p>
        </w:tc>
        <w:tc>
          <w:tcPr>
            <w:tcW w:w="1594" w:type="dxa"/>
            <w:vMerge w:val="continue"/>
            <w:vAlign w:val="center"/>
          </w:tcPr>
          <w:p>
            <w:pPr>
              <w:widowControl/>
              <w:ind w:firstLine="420"/>
              <w:jc w:val="center"/>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557" w:type="dxa"/>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宋体" w:hAnsi="宋体" w:cs="宋体"/>
                <w:b/>
                <w:kern w:val="0"/>
                <w:sz w:val="21"/>
                <w:szCs w:val="21"/>
              </w:rPr>
            </w:pPr>
            <w:r>
              <w:rPr>
                <w:rFonts w:hint="eastAsia" w:ascii="宋体" w:hAnsi="宋体" w:cs="宋体"/>
                <w:b/>
                <w:kern w:val="0"/>
                <w:sz w:val="21"/>
                <w:szCs w:val="21"/>
              </w:rPr>
              <w:t>小计</w:t>
            </w:r>
          </w:p>
        </w:tc>
        <w:tc>
          <w:tcPr>
            <w:tcW w:w="3555" w:type="dxa"/>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宋体" w:hAnsi="宋体" w:cs="宋体"/>
                <w:b/>
                <w:kern w:val="0"/>
                <w:sz w:val="21"/>
                <w:szCs w:val="21"/>
              </w:rPr>
            </w:pPr>
          </w:p>
        </w:tc>
        <w:tc>
          <w:tcPr>
            <w:tcW w:w="856"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b/>
                <w:sz w:val="21"/>
                <w:szCs w:val="21"/>
              </w:rPr>
            </w:pPr>
            <w:r>
              <w:rPr>
                <w:rFonts w:hint="eastAsia" w:ascii="宋体" w:hAnsi="宋体" w:cs="宋体"/>
                <w:kern w:val="0"/>
                <w:sz w:val="21"/>
                <w:szCs w:val="21"/>
              </w:rPr>
              <w:t>1</w:t>
            </w:r>
          </w:p>
        </w:tc>
        <w:tc>
          <w:tcPr>
            <w:tcW w:w="90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宋体" w:hAnsi="宋体" w:cs="宋体"/>
                <w:b/>
                <w:sz w:val="21"/>
                <w:szCs w:val="21"/>
              </w:rPr>
            </w:pPr>
            <w:r>
              <w:rPr>
                <w:rFonts w:hint="eastAsia" w:ascii="宋体" w:hAnsi="宋体" w:cs="宋体"/>
                <w:kern w:val="0"/>
                <w:sz w:val="21"/>
                <w:szCs w:val="21"/>
              </w:rPr>
              <w:t>项</w:t>
            </w:r>
          </w:p>
        </w:tc>
        <w:tc>
          <w:tcPr>
            <w:tcW w:w="105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b/>
                <w:sz w:val="21"/>
                <w:szCs w:val="21"/>
              </w:rPr>
            </w:pPr>
            <w:r>
              <w:rPr>
                <w:rFonts w:hint="eastAsia" w:ascii="宋体" w:hAnsi="宋体" w:cs="宋体"/>
                <w:b/>
                <w:sz w:val="21"/>
                <w:szCs w:val="21"/>
              </w:rPr>
              <w:t>1200</w:t>
            </w:r>
          </w:p>
        </w:tc>
        <w:tc>
          <w:tcPr>
            <w:tcW w:w="1594" w:type="dxa"/>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宋体" w:hAnsi="宋体" w:cs="宋体"/>
                <w:b/>
                <w:kern w:val="0"/>
                <w:sz w:val="21"/>
                <w:szCs w:val="21"/>
              </w:rPr>
            </w:pPr>
            <w:r>
              <w:rPr>
                <w:rFonts w:hint="eastAsia" w:ascii="宋体" w:hAnsi="宋体" w:cs="宋体"/>
                <w:b/>
                <w:kern w:val="0"/>
                <w:sz w:val="21"/>
                <w:szCs w:val="21"/>
              </w:rPr>
              <w:t>——</w:t>
            </w:r>
          </w:p>
        </w:tc>
      </w:tr>
    </w:tbl>
    <w:p>
      <w:pPr>
        <w:ind w:firstLine="560"/>
        <w:rPr>
          <w:rFonts w:ascii="宋体" w:hAnsi="宋体" w:cs="宋体"/>
          <w:szCs w:val="28"/>
        </w:rPr>
      </w:pPr>
    </w:p>
    <w:p>
      <w:pPr>
        <w:pStyle w:val="3"/>
        <w:ind w:firstLine="643"/>
      </w:pPr>
      <w:bookmarkStart w:id="127" w:name="_Toc21594866"/>
      <w:r>
        <w:rPr>
          <w:rFonts w:hint="eastAsia"/>
        </w:rPr>
        <w:t>五、质量控制体系建设</w:t>
      </w:r>
      <w:bookmarkEnd w:id="127"/>
    </w:p>
    <w:p>
      <w:pPr>
        <w:pStyle w:val="4"/>
        <w:spacing w:before="156" w:after="156"/>
        <w:ind w:firstLine="452"/>
      </w:pPr>
      <w:bookmarkStart w:id="128" w:name="_Toc482643449"/>
      <w:r>
        <w:rPr>
          <w:rFonts w:hint="eastAsia"/>
        </w:rPr>
        <w:t>（一）功能目标</w:t>
      </w:r>
      <w:bookmarkEnd w:id="128"/>
    </w:p>
    <w:p>
      <w:pPr>
        <w:spacing w:line="360" w:lineRule="auto"/>
        <w:ind w:firstLine="560"/>
        <w:rPr>
          <w:rFonts w:ascii="宋体" w:hAnsi="宋体" w:cs="宋体"/>
          <w:szCs w:val="28"/>
        </w:rPr>
      </w:pPr>
      <w:r>
        <w:rPr>
          <w:rFonts w:hint="eastAsia" w:ascii="宋体" w:hAnsi="宋体" w:cs="宋体"/>
          <w:szCs w:val="28"/>
        </w:rPr>
        <w:t>以市场为导向，以保护改善兴安生态环境和发展高效农业为中心，以全面提高农产品质量安全水平为核心，以示范区建设为抓手，以农产品质量认证为突破口，达到加强农业生态环境建设，大力推广农业标准化，全面规范农产品生产、加工、销售过程，保障农产品质量和农业生产环境安全。</w:t>
      </w:r>
    </w:p>
    <w:p>
      <w:pPr>
        <w:pStyle w:val="4"/>
        <w:spacing w:before="156" w:after="156"/>
        <w:ind w:firstLine="452"/>
      </w:pPr>
      <w:bookmarkStart w:id="129" w:name="_Toc482643450"/>
      <w:r>
        <w:rPr>
          <w:rFonts w:hint="eastAsia"/>
        </w:rPr>
        <w:t>（二）建设任务</w:t>
      </w:r>
      <w:bookmarkEnd w:id="129"/>
    </w:p>
    <w:p>
      <w:pPr>
        <w:spacing w:line="360" w:lineRule="auto"/>
        <w:ind w:firstLine="560"/>
        <w:rPr>
          <w:rFonts w:ascii="宋体" w:hAnsi="宋体" w:cs="宋体"/>
          <w:szCs w:val="28"/>
        </w:rPr>
      </w:pPr>
      <w:r>
        <w:rPr>
          <w:rFonts w:hint="eastAsia" w:ascii="宋体" w:hAnsi="宋体" w:cs="宋体"/>
          <w:szCs w:val="28"/>
        </w:rPr>
        <w:t>建立农产品质量安全县、镇、基地三级监管体系，完善农产品质量安全检测体系和信息监管平台，加强质量安全信息分析及预警，强化部门协调配合，把好安全上市关。抓好农业综合执法，加强对农业投入品、农产品加工等的监管，从源头上遏制质量安全隐患。加大政策扶持力度，积极推进农业标准化示范区建设，优化农产品品种结构，大力发展绿色食品、有机食品，鼓励农业企业、合作社开展“三品一标”认证，加大农产品注册商标和地理标志保护力度。</w:t>
      </w:r>
    </w:p>
    <w:p>
      <w:pPr>
        <w:pStyle w:val="4"/>
        <w:spacing w:before="156" w:after="156"/>
        <w:ind w:firstLine="452"/>
      </w:pPr>
      <w:bookmarkStart w:id="130" w:name="_Toc421259757"/>
      <w:bookmarkStart w:id="131" w:name="_Toc482643451"/>
      <w:bookmarkStart w:id="132" w:name="_Toc440552073"/>
      <w:r>
        <w:rPr>
          <w:rFonts w:hint="eastAsia"/>
        </w:rPr>
        <w:t>（三）重点建设项目</w:t>
      </w:r>
      <w:bookmarkEnd w:id="130"/>
      <w:bookmarkEnd w:id="131"/>
      <w:bookmarkEnd w:id="132"/>
    </w:p>
    <w:p>
      <w:pPr>
        <w:ind w:firstLine="562"/>
        <w:rPr>
          <w:rFonts w:ascii="宋体" w:hAnsi="宋体" w:cs="宋体"/>
          <w:szCs w:val="28"/>
        </w:rPr>
      </w:pPr>
      <w:r>
        <w:rPr>
          <w:rFonts w:hint="eastAsia" w:ascii="宋体" w:hAnsi="宋体" w:cs="宋体"/>
          <w:b/>
          <w:bCs/>
          <w:szCs w:val="28"/>
        </w:rPr>
        <w:t>1.建立农产品质量安全生产体系。</w:t>
      </w:r>
      <w:r>
        <w:rPr>
          <w:rFonts w:hint="eastAsia" w:ascii="宋体" w:hAnsi="宋体" w:cs="宋体"/>
          <w:szCs w:val="28"/>
        </w:rPr>
        <w:t>积极推进项目区农业标准化安全生产，以</w:t>
      </w:r>
      <w:r>
        <w:rPr>
          <w:rStyle w:val="20"/>
          <w:rFonts w:hint="eastAsia" w:ascii="宋体" w:hAnsi="宋体" w:cs="宋体"/>
          <w:color w:val="auto"/>
          <w:szCs w:val="28"/>
          <w:u w:val="none"/>
        </w:rPr>
        <w:t>葡萄、银杏、甜玉米、柑桔、食用菌</w:t>
      </w:r>
      <w:r>
        <w:rPr>
          <w:rFonts w:hint="eastAsia" w:ascii="宋体" w:hAnsi="宋体" w:cs="宋体"/>
          <w:szCs w:val="28"/>
        </w:rPr>
        <w:t>等为重点，推行统一生产标准、操作规程和技术规范，严格按照法律、行政法规及生产技术规范要求使用农药、肥料，通过宣传教育不断提高农民对农产品质量安全的责任心，为优质农产品生产提供保障机制。</w:t>
      </w:r>
    </w:p>
    <w:p>
      <w:pPr>
        <w:spacing w:line="360" w:lineRule="auto"/>
        <w:ind w:firstLine="562"/>
        <w:rPr>
          <w:rFonts w:ascii="宋体" w:hAnsi="宋体" w:cs="宋体"/>
          <w:szCs w:val="28"/>
        </w:rPr>
      </w:pPr>
      <w:r>
        <w:rPr>
          <w:rFonts w:hint="eastAsia" w:ascii="宋体" w:hAnsi="宋体" w:cs="宋体"/>
          <w:b/>
          <w:bCs/>
          <w:szCs w:val="28"/>
        </w:rPr>
        <w:t>2.建立农产品质量安全检验检测体系。</w:t>
      </w:r>
      <w:r>
        <w:rPr>
          <w:rFonts w:hint="eastAsia" w:ascii="宋体" w:hAnsi="宋体" w:cs="宋体"/>
          <w:szCs w:val="28"/>
        </w:rPr>
        <w:t>建设项目区农产品质量安全检测站和产区流动性检测点，充实专业的检测人员，引进先进的检测检验设备，扩大检测范围，细化检测项目，不断提高农产品质量安全检测检验能力。定期对项目区内的农贸市场、生产基地进行抽样检测，实时公布检测结果，建立公平公正的赏罚制度，为农产品质量安全构筑一道强有力的防线。</w:t>
      </w:r>
    </w:p>
    <w:p>
      <w:pPr>
        <w:spacing w:line="360" w:lineRule="auto"/>
        <w:ind w:firstLine="562"/>
        <w:rPr>
          <w:rFonts w:ascii="宋体" w:hAnsi="宋体" w:cs="宋体"/>
          <w:szCs w:val="28"/>
        </w:rPr>
      </w:pPr>
      <w:r>
        <w:rPr>
          <w:rFonts w:hint="eastAsia" w:ascii="宋体" w:hAnsi="宋体" w:cs="宋体"/>
          <w:b/>
          <w:bCs/>
          <w:szCs w:val="28"/>
        </w:rPr>
        <w:t>3.建立农产品质量安全追溯体系。</w:t>
      </w:r>
      <w:r>
        <w:rPr>
          <w:rFonts w:hint="eastAsia" w:ascii="宋体" w:hAnsi="宋体" w:cs="宋体"/>
          <w:szCs w:val="28"/>
        </w:rPr>
        <w:t>项目区农产品采用二维码技术标记，通过对进入批发市场交易的各种农产品进行登记、取样、检测、公示、存档等程序，建立农产品质量安全档案，形成可追溯体系。根据农产品的性质建立登记和查询机制、商户信誉评比机制以及消费者服务投诉机制，及时反馈消费者信息，发现问题农产品快速召回并追溯到生产基地，实现对农产品质量安全从生产、流通到销售的全程控制，从而增强市民消费信心，增加农民收入并提高生产积极性。</w:t>
      </w:r>
    </w:p>
    <w:p>
      <w:pPr>
        <w:spacing w:line="360" w:lineRule="auto"/>
        <w:ind w:firstLine="562"/>
        <w:rPr>
          <w:rFonts w:ascii="宋体" w:hAnsi="宋体" w:cs="宋体"/>
          <w:szCs w:val="28"/>
        </w:rPr>
      </w:pPr>
      <w:r>
        <w:rPr>
          <w:rFonts w:hint="eastAsia" w:ascii="宋体" w:hAnsi="宋体" w:cs="宋体"/>
          <w:b/>
          <w:bCs/>
          <w:szCs w:val="28"/>
        </w:rPr>
        <w:t>4.建立农产品质量安全信息服务体系。</w:t>
      </w:r>
      <w:r>
        <w:rPr>
          <w:rFonts w:hint="eastAsia" w:ascii="宋体" w:hAnsi="宋体" w:cs="宋体"/>
          <w:szCs w:val="28"/>
        </w:rPr>
        <w:t>建立和完善覆盖面宽、时效性强、具有权威性的农产品质量安全信息网络平台，提供发布与农产品质量安全相关的技术咨询、法律咨询和信息服务；通过开展宣传培训、分析农产品质量安全典型案例，普及农产品质量安全知识，提高生产者和消费者的质量安全意识，营造项目区农产品安全生产、安全销售和放心消费的发展环境。具体重点建设项目与投资估算如下表8-5所示：</w:t>
      </w:r>
    </w:p>
    <w:p>
      <w:pPr>
        <w:spacing w:before="156" w:beforeLines="50" w:after="156" w:afterLines="50"/>
        <w:ind w:firstLine="482"/>
        <w:jc w:val="center"/>
        <w:rPr>
          <w:rFonts w:ascii="宋体" w:hAnsi="宋体" w:cs="宋体"/>
          <w:sz w:val="24"/>
        </w:rPr>
      </w:pPr>
      <w:r>
        <w:rPr>
          <w:rFonts w:hint="eastAsia" w:ascii="宋体" w:hAnsi="宋体" w:cs="宋体"/>
          <w:b/>
          <w:sz w:val="24"/>
        </w:rPr>
        <w:t>表8-5  质量控制体系建设重点项目表</w:t>
      </w:r>
    </w:p>
    <w:tbl>
      <w:tblPr>
        <w:tblStyle w:val="15"/>
        <w:tblW w:w="96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5"/>
        <w:gridCol w:w="3618"/>
        <w:gridCol w:w="869"/>
        <w:gridCol w:w="1036"/>
        <w:gridCol w:w="1070"/>
        <w:gridCol w:w="1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blHeader/>
        </w:trPr>
        <w:tc>
          <w:tcPr>
            <w:tcW w:w="1565" w:type="dxa"/>
            <w:vAlign w:val="center"/>
          </w:tcPr>
          <w:p>
            <w:pPr>
              <w:widowControl/>
              <w:ind w:right="-358" w:rightChars="-128" w:firstLine="310" w:firstLineChars="147"/>
              <w:rPr>
                <w:rFonts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kern w:val="0"/>
                <w:sz w:val="21"/>
                <w:szCs w:val="21"/>
              </w:rPr>
              <w:t>项目名称</w:t>
            </w:r>
          </w:p>
        </w:tc>
        <w:tc>
          <w:tcPr>
            <w:tcW w:w="3618" w:type="dxa"/>
            <w:vAlign w:val="center"/>
          </w:tcPr>
          <w:p>
            <w:pPr>
              <w:widowControl/>
              <w:ind w:firstLine="422"/>
              <w:rPr>
                <w:rFonts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kern w:val="0"/>
                <w:sz w:val="21"/>
                <w:szCs w:val="21"/>
              </w:rPr>
              <w:t>建设内容</w:t>
            </w:r>
          </w:p>
        </w:tc>
        <w:tc>
          <w:tcPr>
            <w:tcW w:w="869" w:type="dxa"/>
            <w:vAlign w:val="center"/>
          </w:tcPr>
          <w:p>
            <w:pPr>
              <w:widowControl/>
              <w:ind w:firstLine="0" w:firstLineChars="0"/>
              <w:jc w:val="center"/>
              <w:rPr>
                <w:rFonts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kern w:val="0"/>
                <w:sz w:val="21"/>
                <w:szCs w:val="21"/>
              </w:rPr>
              <w:t>工程量</w:t>
            </w:r>
          </w:p>
        </w:tc>
        <w:tc>
          <w:tcPr>
            <w:tcW w:w="1036" w:type="dxa"/>
            <w:vAlign w:val="center"/>
          </w:tcPr>
          <w:p>
            <w:pPr>
              <w:widowControl/>
              <w:ind w:firstLine="0" w:firstLineChars="0"/>
              <w:jc w:val="center"/>
              <w:rPr>
                <w:rFonts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kern w:val="0"/>
                <w:sz w:val="21"/>
                <w:szCs w:val="21"/>
              </w:rPr>
              <w:t>单位</w:t>
            </w:r>
          </w:p>
        </w:tc>
        <w:tc>
          <w:tcPr>
            <w:tcW w:w="1070" w:type="dxa"/>
            <w:vAlign w:val="center"/>
          </w:tcPr>
          <w:p>
            <w:pPr>
              <w:widowControl/>
              <w:ind w:firstLine="0" w:firstLineChars="0"/>
              <w:rPr>
                <w:rFonts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kern w:val="0"/>
                <w:sz w:val="21"/>
                <w:szCs w:val="21"/>
              </w:rPr>
              <w:t>总投入</w:t>
            </w:r>
          </w:p>
          <w:p>
            <w:pPr>
              <w:widowControl/>
              <w:ind w:firstLine="0" w:firstLineChars="0"/>
              <w:rPr>
                <w:rFonts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kern w:val="0"/>
                <w:sz w:val="21"/>
                <w:szCs w:val="21"/>
              </w:rPr>
              <w:t>（万元）</w:t>
            </w:r>
          </w:p>
        </w:tc>
        <w:tc>
          <w:tcPr>
            <w:tcW w:w="1514" w:type="dxa"/>
            <w:vAlign w:val="center"/>
          </w:tcPr>
          <w:p>
            <w:pPr>
              <w:widowControl/>
              <w:ind w:firstLine="0" w:firstLineChars="0"/>
              <w:rPr>
                <w:rFonts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kern w:val="0"/>
                <w:sz w:val="21"/>
                <w:szCs w:val="21"/>
              </w:rPr>
              <w:t>建设时间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565" w:type="dxa"/>
            <w:vMerge w:val="restart"/>
            <w:vAlign w:val="center"/>
          </w:tcPr>
          <w:p>
            <w:pPr>
              <w:widowControl/>
              <w:ind w:firstLine="0" w:firstLineChars="0"/>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质量安全生产体系</w:t>
            </w:r>
          </w:p>
        </w:tc>
        <w:tc>
          <w:tcPr>
            <w:tcW w:w="3618" w:type="dxa"/>
            <w:vAlign w:val="center"/>
          </w:tcPr>
          <w:p>
            <w:pPr>
              <w:widowControl/>
              <w:ind w:firstLine="0" w:firstLineChars="0"/>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质量安全资料库</w:t>
            </w:r>
          </w:p>
        </w:tc>
        <w:tc>
          <w:tcPr>
            <w:tcW w:w="869" w:type="dxa"/>
            <w:vAlign w:val="center"/>
          </w:tcPr>
          <w:p>
            <w:pPr>
              <w:widowControl/>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p>
        </w:tc>
        <w:tc>
          <w:tcPr>
            <w:tcW w:w="1036" w:type="dxa"/>
            <w:vAlign w:val="center"/>
          </w:tcPr>
          <w:p>
            <w:pPr>
              <w:widowControl/>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座</w:t>
            </w:r>
          </w:p>
        </w:tc>
        <w:tc>
          <w:tcPr>
            <w:tcW w:w="1070" w:type="dxa"/>
            <w:vAlign w:val="center"/>
          </w:tcPr>
          <w:p>
            <w:pPr>
              <w:widowControl/>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30</w:t>
            </w:r>
          </w:p>
        </w:tc>
        <w:tc>
          <w:tcPr>
            <w:tcW w:w="1514" w:type="dxa"/>
            <w:vMerge w:val="restart"/>
            <w:vAlign w:val="center"/>
          </w:tcPr>
          <w:p>
            <w:pPr>
              <w:widowControl/>
              <w:ind w:firstLine="0" w:firstLineChars="0"/>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2019-2022年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565" w:type="dxa"/>
            <w:vMerge w:val="continue"/>
            <w:vAlign w:val="center"/>
          </w:tcPr>
          <w:p>
            <w:pPr>
              <w:widowControl/>
              <w:ind w:firstLine="420"/>
              <w:jc w:val="center"/>
              <w:rPr>
                <w:rFonts w:asciiTheme="minorEastAsia" w:hAnsiTheme="minorEastAsia" w:eastAsiaTheme="minorEastAsia" w:cstheme="minorEastAsia"/>
                <w:kern w:val="0"/>
                <w:sz w:val="21"/>
                <w:szCs w:val="21"/>
              </w:rPr>
            </w:pPr>
          </w:p>
        </w:tc>
        <w:tc>
          <w:tcPr>
            <w:tcW w:w="3618" w:type="dxa"/>
            <w:vAlign w:val="center"/>
          </w:tcPr>
          <w:p>
            <w:pPr>
              <w:widowControl/>
              <w:ind w:firstLine="0" w:firstLineChars="0"/>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质量安全宣传与展示</w:t>
            </w:r>
          </w:p>
        </w:tc>
        <w:tc>
          <w:tcPr>
            <w:tcW w:w="869" w:type="dxa"/>
            <w:vAlign w:val="center"/>
          </w:tcPr>
          <w:p>
            <w:pPr>
              <w:widowControl/>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p>
        </w:tc>
        <w:tc>
          <w:tcPr>
            <w:tcW w:w="1036" w:type="dxa"/>
            <w:vAlign w:val="center"/>
          </w:tcPr>
          <w:p>
            <w:pPr>
              <w:widowControl/>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项</w:t>
            </w:r>
          </w:p>
        </w:tc>
        <w:tc>
          <w:tcPr>
            <w:tcW w:w="1070" w:type="dxa"/>
            <w:vAlign w:val="center"/>
          </w:tcPr>
          <w:p>
            <w:pPr>
              <w:widowControl/>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50</w:t>
            </w:r>
          </w:p>
        </w:tc>
        <w:tc>
          <w:tcPr>
            <w:tcW w:w="1514" w:type="dxa"/>
            <w:vMerge w:val="continue"/>
            <w:vAlign w:val="center"/>
          </w:tcPr>
          <w:p>
            <w:pPr>
              <w:widowControl/>
              <w:ind w:firstLine="420"/>
              <w:jc w:val="center"/>
              <w:rPr>
                <w:rFonts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5" w:type="dxa"/>
            <w:vMerge w:val="restart"/>
            <w:vAlign w:val="center"/>
          </w:tcPr>
          <w:p>
            <w:pPr>
              <w:widowControl/>
              <w:ind w:firstLine="0" w:firstLineChars="0"/>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质量安全检验检测体系</w:t>
            </w:r>
          </w:p>
          <w:p>
            <w:pPr>
              <w:widowControl/>
              <w:ind w:firstLine="420"/>
              <w:jc w:val="center"/>
              <w:rPr>
                <w:rFonts w:asciiTheme="minorEastAsia" w:hAnsiTheme="minorEastAsia" w:eastAsiaTheme="minorEastAsia" w:cstheme="minorEastAsia"/>
                <w:kern w:val="0"/>
                <w:sz w:val="21"/>
                <w:szCs w:val="21"/>
              </w:rPr>
            </w:pPr>
          </w:p>
        </w:tc>
        <w:tc>
          <w:tcPr>
            <w:tcW w:w="3618" w:type="dxa"/>
            <w:vAlign w:val="center"/>
          </w:tcPr>
          <w:p>
            <w:pPr>
              <w:widowControl/>
              <w:ind w:firstLine="0" w:firstLineChars="0"/>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检测实验室及配套设施</w:t>
            </w:r>
          </w:p>
        </w:tc>
        <w:tc>
          <w:tcPr>
            <w:tcW w:w="869" w:type="dxa"/>
            <w:vAlign w:val="center"/>
          </w:tcPr>
          <w:p>
            <w:pPr>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500</w:t>
            </w:r>
          </w:p>
        </w:tc>
        <w:tc>
          <w:tcPr>
            <w:tcW w:w="1036" w:type="dxa"/>
            <w:vAlign w:val="center"/>
          </w:tcPr>
          <w:p>
            <w:pPr>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平方米</w:t>
            </w:r>
          </w:p>
        </w:tc>
        <w:tc>
          <w:tcPr>
            <w:tcW w:w="1070" w:type="dxa"/>
            <w:vAlign w:val="center"/>
          </w:tcPr>
          <w:p>
            <w:pPr>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100</w:t>
            </w:r>
          </w:p>
        </w:tc>
        <w:tc>
          <w:tcPr>
            <w:tcW w:w="1514" w:type="dxa"/>
            <w:vMerge w:val="restart"/>
            <w:vAlign w:val="center"/>
          </w:tcPr>
          <w:p>
            <w:pPr>
              <w:widowControl/>
              <w:ind w:firstLine="0" w:firstLineChars="0"/>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2019-2022年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565" w:type="dxa"/>
            <w:vMerge w:val="continue"/>
            <w:vAlign w:val="center"/>
          </w:tcPr>
          <w:p>
            <w:pPr>
              <w:widowControl/>
              <w:ind w:firstLine="420"/>
              <w:jc w:val="center"/>
              <w:rPr>
                <w:rFonts w:asciiTheme="minorEastAsia" w:hAnsiTheme="minorEastAsia" w:eastAsiaTheme="minorEastAsia" w:cstheme="minorEastAsia"/>
                <w:kern w:val="0"/>
                <w:sz w:val="21"/>
                <w:szCs w:val="21"/>
              </w:rPr>
            </w:pPr>
          </w:p>
        </w:tc>
        <w:tc>
          <w:tcPr>
            <w:tcW w:w="3618" w:type="dxa"/>
            <w:vAlign w:val="center"/>
          </w:tcPr>
          <w:p>
            <w:pPr>
              <w:widowControl/>
              <w:ind w:firstLine="0" w:firstLineChars="0"/>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农药残留速测仪、电子天枰、全自动定氮仪、微型振荡器等检测仪器</w:t>
            </w:r>
          </w:p>
        </w:tc>
        <w:tc>
          <w:tcPr>
            <w:tcW w:w="869" w:type="dxa"/>
            <w:vAlign w:val="center"/>
          </w:tcPr>
          <w:p>
            <w:pPr>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p>
        </w:tc>
        <w:tc>
          <w:tcPr>
            <w:tcW w:w="1036" w:type="dxa"/>
            <w:vAlign w:val="center"/>
          </w:tcPr>
          <w:p>
            <w:pPr>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批</w:t>
            </w:r>
          </w:p>
        </w:tc>
        <w:tc>
          <w:tcPr>
            <w:tcW w:w="1070" w:type="dxa"/>
            <w:vAlign w:val="center"/>
          </w:tcPr>
          <w:p>
            <w:pPr>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200</w:t>
            </w:r>
          </w:p>
        </w:tc>
        <w:tc>
          <w:tcPr>
            <w:tcW w:w="1514" w:type="dxa"/>
            <w:vMerge w:val="continue"/>
            <w:vAlign w:val="center"/>
          </w:tcPr>
          <w:p>
            <w:pPr>
              <w:widowControl/>
              <w:ind w:firstLine="420"/>
              <w:jc w:val="center"/>
              <w:rPr>
                <w:rFonts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565" w:type="dxa"/>
            <w:vMerge w:val="continue"/>
            <w:vAlign w:val="center"/>
          </w:tcPr>
          <w:p>
            <w:pPr>
              <w:widowControl/>
              <w:ind w:firstLine="420"/>
              <w:jc w:val="center"/>
              <w:rPr>
                <w:rFonts w:asciiTheme="minorEastAsia" w:hAnsiTheme="minorEastAsia" w:eastAsiaTheme="minorEastAsia" w:cstheme="minorEastAsia"/>
                <w:kern w:val="0"/>
                <w:sz w:val="21"/>
                <w:szCs w:val="21"/>
              </w:rPr>
            </w:pPr>
          </w:p>
        </w:tc>
        <w:tc>
          <w:tcPr>
            <w:tcW w:w="3618" w:type="dxa"/>
            <w:vAlign w:val="center"/>
          </w:tcPr>
          <w:p>
            <w:pPr>
              <w:widowControl/>
              <w:ind w:firstLine="0" w:firstLineChars="0"/>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检验检测与评估</w:t>
            </w:r>
          </w:p>
        </w:tc>
        <w:tc>
          <w:tcPr>
            <w:tcW w:w="869" w:type="dxa"/>
            <w:vAlign w:val="center"/>
          </w:tcPr>
          <w:p>
            <w:pPr>
              <w:widowControl/>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p>
        </w:tc>
        <w:tc>
          <w:tcPr>
            <w:tcW w:w="1036" w:type="dxa"/>
            <w:vAlign w:val="center"/>
          </w:tcPr>
          <w:p>
            <w:pPr>
              <w:widowControl/>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项</w:t>
            </w:r>
          </w:p>
        </w:tc>
        <w:tc>
          <w:tcPr>
            <w:tcW w:w="1070" w:type="dxa"/>
            <w:vAlign w:val="center"/>
          </w:tcPr>
          <w:p>
            <w:pPr>
              <w:widowControl/>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80</w:t>
            </w:r>
          </w:p>
        </w:tc>
        <w:tc>
          <w:tcPr>
            <w:tcW w:w="1514" w:type="dxa"/>
            <w:vMerge w:val="continue"/>
            <w:vAlign w:val="center"/>
          </w:tcPr>
          <w:p>
            <w:pPr>
              <w:widowControl/>
              <w:ind w:firstLine="420"/>
              <w:jc w:val="center"/>
              <w:rPr>
                <w:rFonts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565" w:type="dxa"/>
            <w:vMerge w:val="restart"/>
            <w:vAlign w:val="center"/>
          </w:tcPr>
          <w:p>
            <w:pPr>
              <w:widowControl/>
              <w:ind w:firstLine="0" w:firstLineChars="0"/>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质量安全追溯体系</w:t>
            </w:r>
          </w:p>
        </w:tc>
        <w:tc>
          <w:tcPr>
            <w:tcW w:w="3618" w:type="dxa"/>
            <w:vAlign w:val="center"/>
          </w:tcPr>
          <w:p>
            <w:pPr>
              <w:widowControl/>
              <w:ind w:firstLine="0" w:firstLineChars="0"/>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二维码生成配套仪器</w:t>
            </w:r>
          </w:p>
        </w:tc>
        <w:tc>
          <w:tcPr>
            <w:tcW w:w="869" w:type="dxa"/>
            <w:vAlign w:val="center"/>
          </w:tcPr>
          <w:p>
            <w:pPr>
              <w:widowControl/>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5</w:t>
            </w:r>
          </w:p>
        </w:tc>
        <w:tc>
          <w:tcPr>
            <w:tcW w:w="1036" w:type="dxa"/>
            <w:vAlign w:val="center"/>
          </w:tcPr>
          <w:p>
            <w:pPr>
              <w:widowControl/>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套</w:t>
            </w:r>
          </w:p>
        </w:tc>
        <w:tc>
          <w:tcPr>
            <w:tcW w:w="1070" w:type="dxa"/>
            <w:vAlign w:val="center"/>
          </w:tcPr>
          <w:p>
            <w:pPr>
              <w:widowControl/>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400</w:t>
            </w:r>
          </w:p>
        </w:tc>
        <w:tc>
          <w:tcPr>
            <w:tcW w:w="1514" w:type="dxa"/>
            <w:vMerge w:val="restart"/>
            <w:vAlign w:val="center"/>
          </w:tcPr>
          <w:p>
            <w:pPr>
              <w:widowControl/>
              <w:ind w:firstLine="0" w:firstLineChars="0"/>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2019-2022年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565" w:type="dxa"/>
            <w:vMerge w:val="continue"/>
            <w:vAlign w:val="center"/>
          </w:tcPr>
          <w:p>
            <w:pPr>
              <w:widowControl/>
              <w:ind w:firstLine="420"/>
              <w:jc w:val="center"/>
              <w:rPr>
                <w:rFonts w:asciiTheme="minorEastAsia" w:hAnsiTheme="minorEastAsia" w:eastAsiaTheme="minorEastAsia" w:cstheme="minorEastAsia"/>
                <w:kern w:val="0"/>
                <w:sz w:val="21"/>
                <w:szCs w:val="21"/>
              </w:rPr>
            </w:pPr>
          </w:p>
        </w:tc>
        <w:tc>
          <w:tcPr>
            <w:tcW w:w="3618" w:type="dxa"/>
            <w:vAlign w:val="center"/>
          </w:tcPr>
          <w:p>
            <w:pPr>
              <w:widowControl/>
              <w:ind w:firstLine="0" w:firstLineChars="0"/>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质量安全档案库</w:t>
            </w:r>
          </w:p>
        </w:tc>
        <w:tc>
          <w:tcPr>
            <w:tcW w:w="869" w:type="dxa"/>
            <w:vAlign w:val="center"/>
          </w:tcPr>
          <w:p>
            <w:pPr>
              <w:widowControl/>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p>
        </w:tc>
        <w:tc>
          <w:tcPr>
            <w:tcW w:w="1036" w:type="dxa"/>
            <w:vAlign w:val="center"/>
          </w:tcPr>
          <w:p>
            <w:pPr>
              <w:widowControl/>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座</w:t>
            </w:r>
          </w:p>
        </w:tc>
        <w:tc>
          <w:tcPr>
            <w:tcW w:w="1070" w:type="dxa"/>
            <w:vAlign w:val="center"/>
          </w:tcPr>
          <w:p>
            <w:pPr>
              <w:widowControl/>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40</w:t>
            </w:r>
          </w:p>
        </w:tc>
        <w:tc>
          <w:tcPr>
            <w:tcW w:w="1514" w:type="dxa"/>
            <w:vMerge w:val="continue"/>
            <w:vAlign w:val="center"/>
          </w:tcPr>
          <w:p>
            <w:pPr>
              <w:widowControl/>
              <w:ind w:firstLine="420"/>
              <w:jc w:val="center"/>
              <w:rPr>
                <w:rFonts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565" w:type="dxa"/>
            <w:vMerge w:val="continue"/>
            <w:vAlign w:val="center"/>
          </w:tcPr>
          <w:p>
            <w:pPr>
              <w:widowControl/>
              <w:ind w:firstLine="420"/>
              <w:jc w:val="center"/>
              <w:rPr>
                <w:rFonts w:asciiTheme="minorEastAsia" w:hAnsiTheme="minorEastAsia" w:eastAsiaTheme="minorEastAsia" w:cstheme="minorEastAsia"/>
                <w:kern w:val="0"/>
                <w:sz w:val="21"/>
                <w:szCs w:val="21"/>
              </w:rPr>
            </w:pPr>
          </w:p>
        </w:tc>
        <w:tc>
          <w:tcPr>
            <w:tcW w:w="3618" w:type="dxa"/>
            <w:vAlign w:val="center"/>
          </w:tcPr>
          <w:p>
            <w:pPr>
              <w:widowControl/>
              <w:ind w:firstLine="0" w:firstLineChars="0"/>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质量安全登记、评比、咨询和公示等</w:t>
            </w:r>
          </w:p>
        </w:tc>
        <w:tc>
          <w:tcPr>
            <w:tcW w:w="869" w:type="dxa"/>
            <w:vAlign w:val="center"/>
          </w:tcPr>
          <w:p>
            <w:pPr>
              <w:widowControl/>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p>
        </w:tc>
        <w:tc>
          <w:tcPr>
            <w:tcW w:w="1036" w:type="dxa"/>
            <w:vAlign w:val="center"/>
          </w:tcPr>
          <w:p>
            <w:pPr>
              <w:widowControl/>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项</w:t>
            </w:r>
          </w:p>
        </w:tc>
        <w:tc>
          <w:tcPr>
            <w:tcW w:w="1070" w:type="dxa"/>
            <w:vAlign w:val="center"/>
          </w:tcPr>
          <w:p>
            <w:pPr>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100</w:t>
            </w:r>
          </w:p>
        </w:tc>
        <w:tc>
          <w:tcPr>
            <w:tcW w:w="1514" w:type="dxa"/>
            <w:vMerge w:val="continue"/>
            <w:vAlign w:val="center"/>
          </w:tcPr>
          <w:p>
            <w:pPr>
              <w:widowControl/>
              <w:ind w:firstLine="420"/>
              <w:jc w:val="center"/>
              <w:rPr>
                <w:rFonts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565" w:type="dxa"/>
            <w:vAlign w:val="center"/>
          </w:tcPr>
          <w:p>
            <w:pPr>
              <w:widowControl/>
              <w:ind w:firstLine="0" w:firstLineChars="0"/>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质量安全信息服务体系</w:t>
            </w:r>
          </w:p>
        </w:tc>
        <w:tc>
          <w:tcPr>
            <w:tcW w:w="3618" w:type="dxa"/>
            <w:vAlign w:val="center"/>
          </w:tcPr>
          <w:p>
            <w:pPr>
              <w:widowControl/>
              <w:ind w:firstLine="0" w:firstLineChars="0"/>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质量安全信息收集、宣传、培训</w:t>
            </w:r>
          </w:p>
        </w:tc>
        <w:tc>
          <w:tcPr>
            <w:tcW w:w="869" w:type="dxa"/>
            <w:vAlign w:val="center"/>
          </w:tcPr>
          <w:p>
            <w:pPr>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p>
        </w:tc>
        <w:tc>
          <w:tcPr>
            <w:tcW w:w="1036" w:type="dxa"/>
            <w:vAlign w:val="center"/>
          </w:tcPr>
          <w:p>
            <w:pPr>
              <w:widowControl/>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项</w:t>
            </w:r>
          </w:p>
        </w:tc>
        <w:tc>
          <w:tcPr>
            <w:tcW w:w="1070" w:type="dxa"/>
            <w:vAlign w:val="center"/>
          </w:tcPr>
          <w:p>
            <w:pPr>
              <w:ind w:firstLine="0" w:firstLineChars="0"/>
              <w:jc w:val="center"/>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60</w:t>
            </w:r>
          </w:p>
        </w:tc>
        <w:tc>
          <w:tcPr>
            <w:tcW w:w="1514" w:type="dxa"/>
            <w:vAlign w:val="center"/>
          </w:tcPr>
          <w:p>
            <w:pPr>
              <w:widowControl/>
              <w:ind w:firstLine="0" w:firstLineChars="0"/>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2019-2022年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565" w:type="dxa"/>
            <w:vAlign w:val="center"/>
          </w:tcPr>
          <w:p>
            <w:pPr>
              <w:ind w:firstLine="422"/>
              <w:jc w:val="center"/>
              <w:rPr>
                <w:rFonts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小计</w:t>
            </w:r>
          </w:p>
        </w:tc>
        <w:tc>
          <w:tcPr>
            <w:tcW w:w="3618" w:type="dxa"/>
            <w:vAlign w:val="center"/>
          </w:tcPr>
          <w:p>
            <w:pPr>
              <w:widowControl/>
              <w:ind w:firstLine="420"/>
              <w:jc w:val="center"/>
              <w:rPr>
                <w:rFonts w:asciiTheme="minorEastAsia" w:hAnsiTheme="minorEastAsia" w:eastAsiaTheme="minorEastAsia" w:cstheme="minorEastAsia"/>
                <w:kern w:val="0"/>
                <w:sz w:val="21"/>
                <w:szCs w:val="21"/>
              </w:rPr>
            </w:pPr>
          </w:p>
        </w:tc>
        <w:tc>
          <w:tcPr>
            <w:tcW w:w="869" w:type="dxa"/>
            <w:vAlign w:val="center"/>
          </w:tcPr>
          <w:p>
            <w:pPr>
              <w:ind w:firstLine="420"/>
              <w:jc w:val="center"/>
              <w:rPr>
                <w:rFonts w:asciiTheme="minorEastAsia" w:hAnsiTheme="minorEastAsia" w:eastAsiaTheme="minorEastAsia" w:cstheme="minorEastAsia"/>
                <w:sz w:val="21"/>
                <w:szCs w:val="21"/>
              </w:rPr>
            </w:pPr>
          </w:p>
        </w:tc>
        <w:tc>
          <w:tcPr>
            <w:tcW w:w="1036" w:type="dxa"/>
            <w:vAlign w:val="center"/>
          </w:tcPr>
          <w:p>
            <w:pPr>
              <w:ind w:firstLine="420"/>
              <w:jc w:val="center"/>
              <w:rPr>
                <w:rFonts w:asciiTheme="minorEastAsia" w:hAnsiTheme="minorEastAsia" w:eastAsiaTheme="minorEastAsia" w:cstheme="minorEastAsia"/>
                <w:sz w:val="21"/>
                <w:szCs w:val="21"/>
              </w:rPr>
            </w:pPr>
          </w:p>
        </w:tc>
        <w:tc>
          <w:tcPr>
            <w:tcW w:w="1070" w:type="dxa"/>
            <w:vAlign w:val="center"/>
          </w:tcPr>
          <w:p>
            <w:pPr>
              <w:ind w:firstLine="0" w:firstLineChars="0"/>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1060</w:t>
            </w:r>
          </w:p>
        </w:tc>
        <w:tc>
          <w:tcPr>
            <w:tcW w:w="1514" w:type="dxa"/>
            <w:vAlign w:val="center"/>
          </w:tcPr>
          <w:p>
            <w:pPr>
              <w:widowControl/>
              <w:ind w:firstLine="422"/>
              <w:jc w:val="center"/>
              <w:rPr>
                <w:rFonts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w:t>
            </w:r>
          </w:p>
        </w:tc>
      </w:tr>
    </w:tbl>
    <w:p>
      <w:pPr>
        <w:pStyle w:val="2"/>
      </w:pPr>
      <w:r>
        <w:br w:type="page"/>
      </w:r>
      <w:r>
        <w:fldChar w:fldCharType="begin"/>
      </w:r>
      <w:r>
        <w:instrText xml:space="preserve"> HYPERLINK \l "_Toc529132051" </w:instrText>
      </w:r>
      <w:r>
        <w:fldChar w:fldCharType="separate"/>
      </w:r>
      <w:bookmarkStart w:id="133" w:name="_Toc21594867"/>
      <w:r>
        <w:rPr>
          <w:rFonts w:hint="eastAsia"/>
        </w:rPr>
        <w:t>第九章 投资估算与资金筹措</w:t>
      </w:r>
      <w:bookmarkEnd w:id="133"/>
      <w:r>
        <w:rPr>
          <w:rFonts w:hint="eastAsia"/>
        </w:rPr>
        <w:fldChar w:fldCharType="end"/>
      </w:r>
    </w:p>
    <w:p>
      <w:pPr>
        <w:pStyle w:val="3"/>
        <w:ind w:firstLine="643"/>
      </w:pPr>
      <w:r>
        <w:fldChar w:fldCharType="begin"/>
      </w:r>
      <w:r>
        <w:instrText xml:space="preserve"> HYPERLINK \l "_Toc529132052" </w:instrText>
      </w:r>
      <w:r>
        <w:fldChar w:fldCharType="separate"/>
      </w:r>
      <w:bookmarkStart w:id="134" w:name="_Toc21594868"/>
      <w:r>
        <w:rPr>
          <w:rStyle w:val="20"/>
          <w:rFonts w:hint="eastAsia"/>
          <w:color w:val="auto"/>
          <w:u w:val="none"/>
        </w:rPr>
        <w:t>一、投资估算</w:t>
      </w:r>
      <w:bookmarkEnd w:id="134"/>
      <w:r>
        <w:rPr>
          <w:rStyle w:val="20"/>
          <w:rFonts w:hint="eastAsia"/>
          <w:color w:val="auto"/>
          <w:u w:val="none"/>
        </w:rPr>
        <w:fldChar w:fldCharType="end"/>
      </w:r>
    </w:p>
    <w:p>
      <w:pPr>
        <w:ind w:firstLine="560"/>
        <w:rPr>
          <w:szCs w:val="28"/>
        </w:rPr>
      </w:pPr>
      <w:r>
        <w:rPr>
          <w:rFonts w:hint="eastAsia"/>
          <w:szCs w:val="28"/>
        </w:rPr>
        <w:t>本次规划围绕兴安县特色农产品优势区建设谋划了36个重点项目，规划总投资额95570万元，其中特色产业规划重点建设项目投资59300万元，占总投资的62%；其他配套重点项目建设投资36270万元，占总投资额的38%。</w:t>
      </w:r>
    </w:p>
    <w:tbl>
      <w:tblPr>
        <w:tblStyle w:val="15"/>
        <w:tblW w:w="9881" w:type="dxa"/>
        <w:tblInd w:w="0" w:type="dxa"/>
        <w:tblLayout w:type="fixed"/>
        <w:tblCellMar>
          <w:top w:w="0" w:type="dxa"/>
          <w:left w:w="0" w:type="dxa"/>
          <w:bottom w:w="0" w:type="dxa"/>
          <w:right w:w="0" w:type="dxa"/>
        </w:tblCellMar>
      </w:tblPr>
      <w:tblGrid>
        <w:gridCol w:w="435"/>
        <w:gridCol w:w="1828"/>
        <w:gridCol w:w="5039"/>
        <w:gridCol w:w="1482"/>
        <w:gridCol w:w="1097"/>
      </w:tblGrid>
      <w:tr>
        <w:tblPrEx>
          <w:tblCellMar>
            <w:top w:w="0" w:type="dxa"/>
            <w:left w:w="0" w:type="dxa"/>
            <w:bottom w:w="0" w:type="dxa"/>
            <w:right w:w="0" w:type="dxa"/>
          </w:tblCellMar>
        </w:tblPrEx>
        <w:trPr>
          <w:trHeight w:val="52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b/>
                <w:bCs/>
                <w:sz w:val="21"/>
                <w:szCs w:val="21"/>
              </w:rPr>
            </w:pPr>
            <w:r>
              <w:rPr>
                <w:rFonts w:hint="eastAsia"/>
                <w:b/>
                <w:bCs/>
                <w:sz w:val="21"/>
                <w:szCs w:val="21"/>
              </w:rPr>
              <w:t>序号</w:t>
            </w:r>
          </w:p>
        </w:tc>
        <w:tc>
          <w:tcPr>
            <w:tcW w:w="1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b/>
                <w:bCs/>
                <w:sz w:val="21"/>
                <w:szCs w:val="21"/>
              </w:rPr>
            </w:pPr>
            <w:r>
              <w:rPr>
                <w:rFonts w:hint="eastAsia"/>
                <w:b/>
                <w:bCs/>
                <w:sz w:val="21"/>
                <w:szCs w:val="21"/>
              </w:rPr>
              <w:t>项目名称</w:t>
            </w:r>
          </w:p>
        </w:tc>
        <w:tc>
          <w:tcPr>
            <w:tcW w:w="5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b/>
                <w:bCs/>
                <w:sz w:val="21"/>
                <w:szCs w:val="21"/>
              </w:rPr>
            </w:pPr>
            <w:r>
              <w:rPr>
                <w:rFonts w:hint="eastAsia"/>
                <w:b/>
                <w:bCs/>
                <w:sz w:val="21"/>
                <w:szCs w:val="21"/>
              </w:rPr>
              <w:t>建设内容</w:t>
            </w:r>
          </w:p>
        </w:tc>
        <w:tc>
          <w:tcPr>
            <w:tcW w:w="14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b/>
                <w:bCs/>
                <w:sz w:val="21"/>
                <w:szCs w:val="21"/>
              </w:rPr>
            </w:pPr>
            <w:r>
              <w:rPr>
                <w:rFonts w:hint="eastAsia"/>
                <w:b/>
                <w:bCs/>
                <w:sz w:val="21"/>
                <w:szCs w:val="21"/>
              </w:rPr>
              <w:t>布局区域</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b/>
                <w:bCs/>
                <w:sz w:val="21"/>
                <w:szCs w:val="21"/>
              </w:rPr>
            </w:pPr>
            <w:r>
              <w:rPr>
                <w:rFonts w:hint="eastAsia"/>
                <w:b/>
                <w:bCs/>
                <w:sz w:val="21"/>
                <w:szCs w:val="21"/>
              </w:rPr>
              <w:t>投资估算（万元）</w:t>
            </w:r>
          </w:p>
        </w:tc>
      </w:tr>
      <w:tr>
        <w:tblPrEx>
          <w:tblCellMar>
            <w:top w:w="0" w:type="dxa"/>
            <w:left w:w="0" w:type="dxa"/>
            <w:bottom w:w="0" w:type="dxa"/>
            <w:right w:w="0" w:type="dxa"/>
          </w:tblCellMar>
        </w:tblPrEx>
        <w:trPr>
          <w:trHeight w:val="500" w:hRule="atLeast"/>
        </w:trPr>
        <w:tc>
          <w:tcPr>
            <w:tcW w:w="8784" w:type="dxa"/>
            <w:gridSpan w:val="4"/>
            <w:tcBorders>
              <w:top w:val="single" w:color="000000" w:sz="4" w:space="0"/>
              <w:left w:val="single" w:color="000000" w:sz="4" w:space="0"/>
              <w:bottom w:val="single" w:color="000000" w:sz="4" w:space="0"/>
              <w:right w:val="single" w:color="000000" w:sz="4" w:space="0"/>
            </w:tcBorders>
            <w:shd w:val="clear" w:color="auto" w:fill="9BC2E6"/>
            <w:tcMar>
              <w:top w:w="15" w:type="dxa"/>
              <w:left w:w="15" w:type="dxa"/>
              <w:right w:w="15" w:type="dxa"/>
            </w:tcMar>
            <w:vAlign w:val="center"/>
          </w:tcPr>
          <w:p>
            <w:pPr>
              <w:pStyle w:val="6"/>
              <w:jc w:val="center"/>
              <w:rPr>
                <w:b/>
                <w:bCs/>
                <w:sz w:val="21"/>
                <w:szCs w:val="21"/>
              </w:rPr>
            </w:pPr>
            <w:r>
              <w:rPr>
                <w:rFonts w:hint="eastAsia"/>
                <w:b/>
                <w:bCs/>
                <w:sz w:val="21"/>
                <w:szCs w:val="21"/>
              </w:rPr>
              <w:t>一、特色产业规划重点建设项目</w:t>
            </w:r>
          </w:p>
        </w:tc>
        <w:tc>
          <w:tcPr>
            <w:tcW w:w="1097" w:type="dxa"/>
            <w:tcBorders>
              <w:top w:val="single" w:color="000000" w:sz="4" w:space="0"/>
              <w:left w:val="single" w:color="000000" w:sz="4" w:space="0"/>
              <w:bottom w:val="single" w:color="000000" w:sz="4" w:space="0"/>
              <w:right w:val="single" w:color="000000" w:sz="4" w:space="0"/>
            </w:tcBorders>
            <w:shd w:val="clear" w:color="auto" w:fill="9BC2E6"/>
            <w:tcMar>
              <w:top w:w="15" w:type="dxa"/>
              <w:left w:w="15" w:type="dxa"/>
              <w:right w:w="15" w:type="dxa"/>
            </w:tcMar>
            <w:vAlign w:val="center"/>
          </w:tcPr>
          <w:p>
            <w:pPr>
              <w:pStyle w:val="6"/>
              <w:jc w:val="center"/>
              <w:rPr>
                <w:b/>
                <w:bCs/>
                <w:sz w:val="21"/>
                <w:szCs w:val="21"/>
              </w:rPr>
            </w:pPr>
            <w:r>
              <w:rPr>
                <w:rFonts w:hint="eastAsia"/>
                <w:b/>
                <w:bCs/>
                <w:sz w:val="21"/>
                <w:szCs w:val="21"/>
              </w:rPr>
              <w:t>59300</w:t>
            </w:r>
          </w:p>
        </w:tc>
      </w:tr>
      <w:tr>
        <w:tblPrEx>
          <w:tblCellMar>
            <w:top w:w="0" w:type="dxa"/>
            <w:left w:w="0" w:type="dxa"/>
            <w:bottom w:w="0" w:type="dxa"/>
            <w:right w:w="0" w:type="dxa"/>
          </w:tblCellMar>
        </w:tblPrEx>
        <w:trPr>
          <w:trHeight w:val="400" w:hRule="atLeast"/>
        </w:trPr>
        <w:tc>
          <w:tcPr>
            <w:tcW w:w="9881" w:type="dxa"/>
            <w:gridSpan w:val="5"/>
            <w:tcBorders>
              <w:top w:val="single" w:color="000000" w:sz="4" w:space="0"/>
              <w:left w:val="single" w:color="000000" w:sz="4" w:space="0"/>
              <w:bottom w:val="single" w:color="000000" w:sz="4" w:space="0"/>
              <w:right w:val="single" w:color="000000" w:sz="4" w:space="0"/>
            </w:tcBorders>
            <w:shd w:val="clear" w:color="auto" w:fill="C6E0B4"/>
            <w:tcMar>
              <w:top w:w="15" w:type="dxa"/>
              <w:left w:w="15" w:type="dxa"/>
              <w:right w:w="15" w:type="dxa"/>
            </w:tcMar>
            <w:vAlign w:val="center"/>
          </w:tcPr>
          <w:p>
            <w:pPr>
              <w:pStyle w:val="6"/>
              <w:rPr>
                <w:b/>
                <w:bCs/>
                <w:sz w:val="21"/>
                <w:szCs w:val="21"/>
              </w:rPr>
            </w:pPr>
            <w:r>
              <w:rPr>
                <w:rFonts w:hint="eastAsia"/>
                <w:b/>
                <w:bCs/>
                <w:sz w:val="21"/>
                <w:szCs w:val="21"/>
              </w:rPr>
              <w:t>（一）葡萄产业</w:t>
            </w:r>
          </w:p>
        </w:tc>
      </w:tr>
      <w:tr>
        <w:tblPrEx>
          <w:tblCellMar>
            <w:top w:w="0" w:type="dxa"/>
            <w:left w:w="0" w:type="dxa"/>
            <w:bottom w:w="0" w:type="dxa"/>
            <w:right w:w="0" w:type="dxa"/>
          </w:tblCellMar>
        </w:tblPrEx>
        <w:trPr>
          <w:trHeight w:val="96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1</w:t>
            </w:r>
          </w:p>
        </w:tc>
        <w:tc>
          <w:tcPr>
            <w:tcW w:w="1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国家现代农业（葡萄）产业园建设项目</w:t>
            </w:r>
          </w:p>
        </w:tc>
        <w:tc>
          <w:tcPr>
            <w:tcW w:w="5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8万亩，包括葡萄良种苗木繁育基地、葡萄新品种试验示范基地、绿色山地葡萄示范基地、无公害葡萄种植基地、改种基地、鲜食葡萄产业化基地（保鲜库、冷藏车、分级包装车间等）</w:t>
            </w:r>
          </w:p>
        </w:tc>
        <w:tc>
          <w:tcPr>
            <w:tcW w:w="14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溶江镇、严关镇，以莲塘村为核心</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10000</w:t>
            </w:r>
          </w:p>
        </w:tc>
      </w:tr>
      <w:tr>
        <w:tblPrEx>
          <w:tblCellMar>
            <w:top w:w="0" w:type="dxa"/>
            <w:left w:w="0" w:type="dxa"/>
            <w:bottom w:w="0" w:type="dxa"/>
            <w:right w:w="0" w:type="dxa"/>
          </w:tblCellMar>
        </w:tblPrEx>
        <w:trPr>
          <w:trHeight w:val="94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2</w:t>
            </w:r>
          </w:p>
        </w:tc>
        <w:tc>
          <w:tcPr>
            <w:tcW w:w="1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绿色山地葡萄示范基地建设项目</w:t>
            </w:r>
          </w:p>
        </w:tc>
        <w:tc>
          <w:tcPr>
            <w:tcW w:w="5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5000亩，改造建设3-5个绿色山地葡萄示范基地，设施配套完善，应用节水滴灌、绿色栽培、延迟、限产提质、生态促成等葡萄种植技术，产品通过绿色认证，将优越的自然优势和资源优势转化为产品优势。</w:t>
            </w:r>
          </w:p>
        </w:tc>
        <w:tc>
          <w:tcPr>
            <w:tcW w:w="14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溶江镇、兴安镇</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500</w:t>
            </w:r>
          </w:p>
        </w:tc>
      </w:tr>
      <w:tr>
        <w:tblPrEx>
          <w:tblCellMar>
            <w:top w:w="0" w:type="dxa"/>
            <w:left w:w="0" w:type="dxa"/>
            <w:bottom w:w="0" w:type="dxa"/>
            <w:right w:w="0" w:type="dxa"/>
          </w:tblCellMar>
        </w:tblPrEx>
        <w:trPr>
          <w:trHeight w:val="60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3</w:t>
            </w:r>
          </w:p>
        </w:tc>
        <w:tc>
          <w:tcPr>
            <w:tcW w:w="1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葡萄新品种新技术综合示范基地建设项目</w:t>
            </w:r>
          </w:p>
        </w:tc>
        <w:tc>
          <w:tcPr>
            <w:tcW w:w="5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建设1000亩鲜食葡萄示范基地，引进优质的鲜食葡萄新品种种苗12万株，温室大棚、滴灌设施、沟渠机耕道道建设等。</w:t>
            </w:r>
          </w:p>
        </w:tc>
        <w:tc>
          <w:tcPr>
            <w:tcW w:w="14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溶江镇、严关镇、湘漓镇、漠川乡</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200</w:t>
            </w:r>
          </w:p>
        </w:tc>
      </w:tr>
      <w:tr>
        <w:tblPrEx>
          <w:tblCellMar>
            <w:top w:w="0" w:type="dxa"/>
            <w:left w:w="0" w:type="dxa"/>
            <w:bottom w:w="0" w:type="dxa"/>
            <w:right w:w="0" w:type="dxa"/>
          </w:tblCellMar>
        </w:tblPrEx>
        <w:trPr>
          <w:trHeight w:val="68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4</w:t>
            </w:r>
          </w:p>
        </w:tc>
        <w:tc>
          <w:tcPr>
            <w:tcW w:w="1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葡萄产地预冷保鲜中心建设项目</w:t>
            </w:r>
          </w:p>
        </w:tc>
        <w:tc>
          <w:tcPr>
            <w:tcW w:w="5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建设3个先进、适用、经济的葡萄保鲜库，其中漠川乡保鲜库达到8000吨以上贮藏量；溶江镇、兴安镇每个保鲜库达到10000吨以上贮藏量，避开采后上市高峰，延长市场供应期，提高葡萄附加值。</w:t>
            </w:r>
          </w:p>
        </w:tc>
        <w:tc>
          <w:tcPr>
            <w:tcW w:w="14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溶江镇、兴安镇、漠川乡</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8000</w:t>
            </w:r>
          </w:p>
        </w:tc>
      </w:tr>
      <w:tr>
        <w:tblPrEx>
          <w:tblCellMar>
            <w:top w:w="0" w:type="dxa"/>
            <w:left w:w="0" w:type="dxa"/>
            <w:bottom w:w="0" w:type="dxa"/>
            <w:right w:w="0" w:type="dxa"/>
          </w:tblCellMar>
        </w:tblPrEx>
        <w:trPr>
          <w:trHeight w:val="94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5</w:t>
            </w:r>
          </w:p>
        </w:tc>
        <w:tc>
          <w:tcPr>
            <w:tcW w:w="1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溶江葡萄庄园建设项目</w:t>
            </w:r>
          </w:p>
        </w:tc>
        <w:tc>
          <w:tcPr>
            <w:tcW w:w="5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1500亩，以绿色山地葡萄示范基地建设为基础，建设配套完善的道路景观配套设施、住宿、景观拱桥、葡萄博物馆、水上阳光餐厅、周边环境景观、生态型公厕等，打造成一个集观光、旅游、休闲为一体的高档次、高品位、风格独特、面向全国的欧式葡萄庄园。</w:t>
            </w:r>
          </w:p>
        </w:tc>
        <w:tc>
          <w:tcPr>
            <w:tcW w:w="14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溶江镇五甲村</w:t>
            </w:r>
          </w:p>
        </w:tc>
        <w:tc>
          <w:tcPr>
            <w:tcW w:w="10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6"/>
              <w:jc w:val="center"/>
              <w:rPr>
                <w:sz w:val="21"/>
                <w:szCs w:val="21"/>
              </w:rPr>
            </w:pPr>
            <w:r>
              <w:rPr>
                <w:rFonts w:hint="eastAsia"/>
                <w:sz w:val="21"/>
                <w:szCs w:val="21"/>
              </w:rPr>
              <w:t>5000</w:t>
            </w:r>
          </w:p>
        </w:tc>
      </w:tr>
      <w:tr>
        <w:tblPrEx>
          <w:tblCellMar>
            <w:top w:w="0" w:type="dxa"/>
            <w:left w:w="0" w:type="dxa"/>
            <w:bottom w:w="0" w:type="dxa"/>
            <w:right w:w="0" w:type="dxa"/>
          </w:tblCellMar>
        </w:tblPrEx>
        <w:trPr>
          <w:trHeight w:val="440" w:hRule="atLeast"/>
        </w:trPr>
        <w:tc>
          <w:tcPr>
            <w:tcW w:w="878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b/>
                <w:bCs/>
                <w:sz w:val="21"/>
                <w:szCs w:val="21"/>
              </w:rPr>
            </w:pPr>
            <w:r>
              <w:rPr>
                <w:rFonts w:hint="eastAsia"/>
                <w:b/>
                <w:bCs/>
                <w:sz w:val="21"/>
                <w:szCs w:val="21"/>
              </w:rPr>
              <w:t>小计</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b/>
                <w:bCs/>
                <w:sz w:val="21"/>
                <w:szCs w:val="21"/>
              </w:rPr>
            </w:pPr>
            <w:r>
              <w:rPr>
                <w:rFonts w:hint="eastAsia"/>
                <w:b/>
                <w:bCs/>
                <w:sz w:val="21"/>
                <w:szCs w:val="21"/>
              </w:rPr>
              <w:t>23700</w:t>
            </w:r>
          </w:p>
        </w:tc>
      </w:tr>
      <w:tr>
        <w:tblPrEx>
          <w:tblCellMar>
            <w:top w:w="0" w:type="dxa"/>
            <w:left w:w="0" w:type="dxa"/>
            <w:bottom w:w="0" w:type="dxa"/>
            <w:right w:w="0" w:type="dxa"/>
          </w:tblCellMar>
        </w:tblPrEx>
        <w:trPr>
          <w:trHeight w:val="500" w:hRule="atLeast"/>
        </w:trPr>
        <w:tc>
          <w:tcPr>
            <w:tcW w:w="9881" w:type="dxa"/>
            <w:gridSpan w:val="5"/>
            <w:tcBorders>
              <w:top w:val="single" w:color="000000" w:sz="4" w:space="0"/>
              <w:left w:val="single" w:color="000000" w:sz="4" w:space="0"/>
              <w:bottom w:val="single" w:color="000000" w:sz="4" w:space="0"/>
              <w:right w:val="single" w:color="000000" w:sz="4" w:space="0"/>
            </w:tcBorders>
            <w:shd w:val="clear" w:color="auto" w:fill="C6E0B4"/>
            <w:tcMar>
              <w:top w:w="15" w:type="dxa"/>
              <w:left w:w="15" w:type="dxa"/>
              <w:right w:w="15" w:type="dxa"/>
            </w:tcMar>
            <w:vAlign w:val="center"/>
          </w:tcPr>
          <w:p>
            <w:pPr>
              <w:pStyle w:val="6"/>
              <w:rPr>
                <w:sz w:val="21"/>
                <w:szCs w:val="21"/>
              </w:rPr>
            </w:pPr>
            <w:r>
              <w:rPr>
                <w:rFonts w:hint="eastAsia"/>
                <w:b/>
                <w:bCs/>
                <w:sz w:val="21"/>
                <w:szCs w:val="21"/>
              </w:rPr>
              <w:t>（二）银杏产业</w:t>
            </w:r>
          </w:p>
        </w:tc>
      </w:tr>
      <w:tr>
        <w:tblPrEx>
          <w:tblCellMar>
            <w:top w:w="0" w:type="dxa"/>
            <w:left w:w="0" w:type="dxa"/>
            <w:bottom w:w="0" w:type="dxa"/>
            <w:right w:w="0" w:type="dxa"/>
          </w:tblCellMar>
        </w:tblPrEx>
        <w:trPr>
          <w:trHeight w:val="64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6</w:t>
            </w:r>
          </w:p>
        </w:tc>
        <w:tc>
          <w:tcPr>
            <w:tcW w:w="1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市级银杏产业（核心）示范区</w:t>
            </w:r>
          </w:p>
        </w:tc>
        <w:tc>
          <w:tcPr>
            <w:tcW w:w="5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2万亩，重点发展生态旅游和银杏产品精深加工，通过银杏文化的挖掘、保护、传承和利用，打造一个集一二三产业</w:t>
            </w:r>
            <w:r>
              <w:rPr>
                <w:rFonts w:hint="eastAsia"/>
                <w:sz w:val="21"/>
                <w:szCs w:val="21"/>
                <w:lang w:eastAsia="zh-CN"/>
              </w:rPr>
              <w:t>深度融合</w:t>
            </w:r>
            <w:r>
              <w:rPr>
                <w:rFonts w:hint="eastAsia"/>
                <w:sz w:val="21"/>
                <w:szCs w:val="21"/>
              </w:rPr>
              <w:t>的市级银杏产业(核心）示范区。</w:t>
            </w:r>
          </w:p>
        </w:tc>
        <w:tc>
          <w:tcPr>
            <w:tcW w:w="14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高尚镇</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5000</w:t>
            </w:r>
          </w:p>
        </w:tc>
      </w:tr>
      <w:tr>
        <w:tblPrEx>
          <w:tblCellMar>
            <w:top w:w="0" w:type="dxa"/>
            <w:left w:w="0" w:type="dxa"/>
            <w:bottom w:w="0" w:type="dxa"/>
            <w:right w:w="0" w:type="dxa"/>
          </w:tblCellMar>
        </w:tblPrEx>
        <w:trPr>
          <w:trHeight w:val="88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7</w:t>
            </w:r>
          </w:p>
        </w:tc>
        <w:tc>
          <w:tcPr>
            <w:tcW w:w="1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桂林兴安国家古银杏公园带建设项目</w:t>
            </w:r>
          </w:p>
        </w:tc>
        <w:tc>
          <w:tcPr>
            <w:tcW w:w="5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10公里，位于兴阳公路两侧,“十里古银杏林”国内外闻名,拥有百年以上古银杏树2370株,以古银杏资源保护为中心。以森林风最资源培育为重点，以彰显“古银杏群落”资源为特色，打造集古树名木保护、森林康养、科普宜教于一体的古银杏文化主题公园。</w:t>
            </w:r>
          </w:p>
        </w:tc>
        <w:tc>
          <w:tcPr>
            <w:tcW w:w="14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高尚镇、漠川乡、白石乡、崔家乡</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3000</w:t>
            </w:r>
          </w:p>
        </w:tc>
      </w:tr>
      <w:tr>
        <w:tblPrEx>
          <w:tblCellMar>
            <w:top w:w="0" w:type="dxa"/>
            <w:left w:w="0" w:type="dxa"/>
            <w:bottom w:w="0" w:type="dxa"/>
            <w:right w:w="0" w:type="dxa"/>
          </w:tblCellMar>
        </w:tblPrEx>
        <w:trPr>
          <w:trHeight w:val="108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8</w:t>
            </w:r>
          </w:p>
        </w:tc>
        <w:tc>
          <w:tcPr>
            <w:tcW w:w="1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银杏精深加工产业园</w:t>
            </w:r>
          </w:p>
        </w:tc>
        <w:tc>
          <w:tcPr>
            <w:tcW w:w="5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200亩，引进研发中心与科院、高校台作。引进大企业及科研力,利用丰富的银杏叶、果等资源。以现代营养科学理论和高新食品加工工艺为基础，研发具有一定营养、保健功能和特殊风味的银杏保健品和食品。提高银杏果、叶深度开发水平，加大银杏产业的招商力度。对发展银杏的企业给予政策优感或奖励。</w:t>
            </w:r>
          </w:p>
        </w:tc>
        <w:tc>
          <w:tcPr>
            <w:tcW w:w="14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兴安县现代特色农产品加工产业园</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5000</w:t>
            </w:r>
          </w:p>
        </w:tc>
      </w:tr>
      <w:tr>
        <w:tblPrEx>
          <w:tblCellMar>
            <w:top w:w="0" w:type="dxa"/>
            <w:left w:w="0" w:type="dxa"/>
            <w:bottom w:w="0" w:type="dxa"/>
            <w:right w:w="0" w:type="dxa"/>
          </w:tblCellMar>
        </w:tblPrEx>
        <w:trPr>
          <w:trHeight w:val="86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9</w:t>
            </w:r>
          </w:p>
        </w:tc>
        <w:tc>
          <w:tcPr>
            <w:tcW w:w="1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兴安县银杏酒厂</w:t>
            </w:r>
          </w:p>
        </w:tc>
        <w:tc>
          <w:tcPr>
            <w:tcW w:w="5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100亩，充分利用好桂林兴安县银杏源酒业有限责任公司为目前兴安县银杏酒业带头企业的优势，积极培育银杏酒加工企业，解决企业生产用地难问题；重点建设厂区道路、生产车间、原材料仓库、展示厅、综合办公楼、停车区。</w:t>
            </w:r>
          </w:p>
        </w:tc>
        <w:tc>
          <w:tcPr>
            <w:tcW w:w="14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兴安县现代特色农产品加工产业园</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2500</w:t>
            </w:r>
          </w:p>
        </w:tc>
      </w:tr>
      <w:tr>
        <w:tblPrEx>
          <w:tblCellMar>
            <w:top w:w="0" w:type="dxa"/>
            <w:left w:w="0" w:type="dxa"/>
            <w:bottom w:w="0" w:type="dxa"/>
            <w:right w:w="0" w:type="dxa"/>
          </w:tblCellMar>
        </w:tblPrEx>
        <w:trPr>
          <w:trHeight w:val="440" w:hRule="atLeast"/>
        </w:trPr>
        <w:tc>
          <w:tcPr>
            <w:tcW w:w="878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b/>
                <w:bCs/>
                <w:sz w:val="21"/>
                <w:szCs w:val="21"/>
              </w:rPr>
            </w:pPr>
            <w:r>
              <w:rPr>
                <w:rFonts w:hint="eastAsia"/>
                <w:b/>
                <w:bCs/>
                <w:sz w:val="21"/>
                <w:szCs w:val="21"/>
              </w:rPr>
              <w:t>小计</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b/>
                <w:bCs/>
                <w:sz w:val="21"/>
                <w:szCs w:val="21"/>
              </w:rPr>
            </w:pPr>
            <w:r>
              <w:rPr>
                <w:rFonts w:hint="eastAsia"/>
                <w:b/>
                <w:bCs/>
                <w:sz w:val="21"/>
                <w:szCs w:val="21"/>
              </w:rPr>
              <w:t>15500</w:t>
            </w:r>
          </w:p>
        </w:tc>
      </w:tr>
      <w:tr>
        <w:tblPrEx>
          <w:tblCellMar>
            <w:top w:w="0" w:type="dxa"/>
            <w:left w:w="0" w:type="dxa"/>
            <w:bottom w:w="0" w:type="dxa"/>
            <w:right w:w="0" w:type="dxa"/>
          </w:tblCellMar>
        </w:tblPrEx>
        <w:trPr>
          <w:trHeight w:val="500" w:hRule="atLeast"/>
        </w:trPr>
        <w:tc>
          <w:tcPr>
            <w:tcW w:w="9881" w:type="dxa"/>
            <w:gridSpan w:val="5"/>
            <w:tcBorders>
              <w:top w:val="single" w:color="000000" w:sz="4" w:space="0"/>
              <w:left w:val="single" w:color="000000" w:sz="4" w:space="0"/>
              <w:bottom w:val="single" w:color="000000" w:sz="4" w:space="0"/>
              <w:right w:val="single" w:color="000000" w:sz="4" w:space="0"/>
            </w:tcBorders>
            <w:shd w:val="clear" w:color="auto" w:fill="C6E0B4"/>
            <w:tcMar>
              <w:top w:w="15" w:type="dxa"/>
              <w:left w:w="15" w:type="dxa"/>
              <w:right w:w="15" w:type="dxa"/>
            </w:tcMar>
            <w:vAlign w:val="center"/>
          </w:tcPr>
          <w:p>
            <w:pPr>
              <w:pStyle w:val="6"/>
              <w:rPr>
                <w:b/>
                <w:bCs/>
                <w:sz w:val="21"/>
                <w:szCs w:val="21"/>
              </w:rPr>
            </w:pPr>
            <w:r>
              <w:rPr>
                <w:rFonts w:hint="eastAsia"/>
                <w:b/>
                <w:bCs/>
                <w:sz w:val="21"/>
                <w:szCs w:val="21"/>
              </w:rPr>
              <w:t>（三）甜玉米产业</w:t>
            </w:r>
          </w:p>
        </w:tc>
      </w:tr>
      <w:tr>
        <w:tblPrEx>
          <w:tblCellMar>
            <w:top w:w="0" w:type="dxa"/>
            <w:left w:w="0" w:type="dxa"/>
            <w:bottom w:w="0" w:type="dxa"/>
            <w:right w:w="0" w:type="dxa"/>
          </w:tblCellMar>
        </w:tblPrEx>
        <w:trPr>
          <w:trHeight w:val="64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10</w:t>
            </w:r>
          </w:p>
        </w:tc>
        <w:tc>
          <w:tcPr>
            <w:tcW w:w="1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区级甜玉米产业（核心）示范区</w:t>
            </w:r>
          </w:p>
        </w:tc>
        <w:tc>
          <w:tcPr>
            <w:tcW w:w="5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建设3000亩甜玉米免耕高产技术示范基地，建设50亩甜玉米种质资源圃、1000亩甜玉米新品种新技术试验基地及鲜食玉米销售电商平台1个等。</w:t>
            </w:r>
          </w:p>
        </w:tc>
        <w:tc>
          <w:tcPr>
            <w:tcW w:w="14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高尚镇东河、乐群、龙田村（核心）</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8000</w:t>
            </w:r>
          </w:p>
        </w:tc>
      </w:tr>
      <w:tr>
        <w:tblPrEx>
          <w:tblCellMar>
            <w:top w:w="0" w:type="dxa"/>
            <w:left w:w="0" w:type="dxa"/>
            <w:bottom w:w="0" w:type="dxa"/>
            <w:right w:w="0" w:type="dxa"/>
          </w:tblCellMar>
        </w:tblPrEx>
        <w:trPr>
          <w:trHeight w:val="88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11</w:t>
            </w:r>
          </w:p>
        </w:tc>
        <w:tc>
          <w:tcPr>
            <w:tcW w:w="1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甜玉米标准化种植示范基地</w:t>
            </w:r>
          </w:p>
        </w:tc>
        <w:tc>
          <w:tcPr>
            <w:tcW w:w="5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核心示范规模3000亩，辐射示范5000亩，拓展示范1万亩，注重优良品种的推广力度，发展三季、两季甜玉米专业化、标准化、高效、高产种植，提升产品品质，为开发甜玉米精深加工系列产品奠定基础。</w:t>
            </w:r>
          </w:p>
        </w:tc>
        <w:tc>
          <w:tcPr>
            <w:tcW w:w="14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高尚镇（核心区），崔家乡、白石乡（辐射区），兴安镇、湘漓镇、界首镇、漠川乡（拓展区）</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1000</w:t>
            </w:r>
          </w:p>
        </w:tc>
      </w:tr>
      <w:tr>
        <w:tblPrEx>
          <w:tblCellMar>
            <w:top w:w="0" w:type="dxa"/>
            <w:left w:w="0" w:type="dxa"/>
            <w:bottom w:w="0" w:type="dxa"/>
            <w:right w:w="0" w:type="dxa"/>
          </w:tblCellMar>
        </w:tblPrEx>
        <w:trPr>
          <w:trHeight w:val="58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12</w:t>
            </w:r>
          </w:p>
        </w:tc>
        <w:tc>
          <w:tcPr>
            <w:tcW w:w="1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甜玉米产业联动（资源综合循环利用示范）基地</w:t>
            </w:r>
          </w:p>
        </w:tc>
        <w:tc>
          <w:tcPr>
            <w:tcW w:w="5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发展5-10个甜玉米秸秆饲料厂，千头牛场1-2个。</w:t>
            </w:r>
          </w:p>
        </w:tc>
        <w:tc>
          <w:tcPr>
            <w:tcW w:w="14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高尚镇、崔家乡、白石乡、兴安镇</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2000</w:t>
            </w:r>
          </w:p>
        </w:tc>
      </w:tr>
      <w:tr>
        <w:tblPrEx>
          <w:tblCellMar>
            <w:top w:w="0" w:type="dxa"/>
            <w:left w:w="0" w:type="dxa"/>
            <w:bottom w:w="0" w:type="dxa"/>
            <w:right w:w="0" w:type="dxa"/>
          </w:tblCellMar>
        </w:tblPrEx>
        <w:trPr>
          <w:trHeight w:val="440" w:hRule="atLeast"/>
        </w:trPr>
        <w:tc>
          <w:tcPr>
            <w:tcW w:w="878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b/>
                <w:bCs/>
                <w:sz w:val="21"/>
                <w:szCs w:val="21"/>
              </w:rPr>
            </w:pPr>
            <w:r>
              <w:rPr>
                <w:rFonts w:hint="eastAsia"/>
                <w:b/>
                <w:bCs/>
                <w:sz w:val="21"/>
                <w:szCs w:val="21"/>
              </w:rPr>
              <w:t>小计</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b/>
                <w:bCs/>
                <w:sz w:val="21"/>
                <w:szCs w:val="21"/>
              </w:rPr>
            </w:pPr>
            <w:r>
              <w:rPr>
                <w:rFonts w:hint="eastAsia"/>
                <w:b/>
                <w:bCs/>
                <w:sz w:val="21"/>
                <w:szCs w:val="21"/>
              </w:rPr>
              <w:t>11000</w:t>
            </w:r>
          </w:p>
        </w:tc>
      </w:tr>
      <w:tr>
        <w:tblPrEx>
          <w:tblCellMar>
            <w:top w:w="0" w:type="dxa"/>
            <w:left w:w="0" w:type="dxa"/>
            <w:bottom w:w="0" w:type="dxa"/>
            <w:right w:w="0" w:type="dxa"/>
          </w:tblCellMar>
        </w:tblPrEx>
        <w:trPr>
          <w:trHeight w:val="500" w:hRule="atLeast"/>
        </w:trPr>
        <w:tc>
          <w:tcPr>
            <w:tcW w:w="9881" w:type="dxa"/>
            <w:gridSpan w:val="5"/>
            <w:tcBorders>
              <w:top w:val="single" w:color="000000" w:sz="4" w:space="0"/>
              <w:left w:val="single" w:color="000000" w:sz="4" w:space="0"/>
              <w:bottom w:val="single" w:color="000000" w:sz="4" w:space="0"/>
              <w:right w:val="single" w:color="000000" w:sz="4" w:space="0"/>
            </w:tcBorders>
            <w:shd w:val="clear" w:color="auto" w:fill="C6E0B4"/>
            <w:tcMar>
              <w:top w:w="15" w:type="dxa"/>
              <w:left w:w="15" w:type="dxa"/>
              <w:right w:w="15" w:type="dxa"/>
            </w:tcMar>
            <w:vAlign w:val="center"/>
          </w:tcPr>
          <w:p>
            <w:pPr>
              <w:pStyle w:val="6"/>
              <w:rPr>
                <w:b/>
                <w:bCs/>
                <w:sz w:val="21"/>
                <w:szCs w:val="21"/>
              </w:rPr>
            </w:pPr>
            <w:r>
              <w:rPr>
                <w:rFonts w:hint="eastAsia"/>
                <w:b/>
                <w:bCs/>
                <w:sz w:val="21"/>
                <w:szCs w:val="21"/>
              </w:rPr>
              <w:t>（四）柑桔产业</w:t>
            </w:r>
          </w:p>
        </w:tc>
      </w:tr>
      <w:tr>
        <w:tblPrEx>
          <w:tblCellMar>
            <w:top w:w="0" w:type="dxa"/>
            <w:left w:w="0" w:type="dxa"/>
            <w:bottom w:w="0" w:type="dxa"/>
            <w:right w:w="0" w:type="dxa"/>
          </w:tblCellMar>
        </w:tblPrEx>
        <w:trPr>
          <w:trHeight w:val="62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13</w:t>
            </w:r>
          </w:p>
        </w:tc>
        <w:tc>
          <w:tcPr>
            <w:tcW w:w="1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现代化柑桔无病毒苗木繁育中心建设项目</w:t>
            </w:r>
          </w:p>
        </w:tc>
        <w:tc>
          <w:tcPr>
            <w:tcW w:w="5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100亩，开展柑桔优良新品种的引进、鉴定、脱毒、保存与无病毒苗木的繁育。主要建设无病毒良种母本园、砧木种子园、良种展示园、采穗圃、苗木繁殖圃即“三园二圃”以及基础设施。</w:t>
            </w:r>
          </w:p>
        </w:tc>
        <w:tc>
          <w:tcPr>
            <w:tcW w:w="14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兴安镇、</w:t>
            </w:r>
            <w:r>
              <w:rPr>
                <w:sz w:val="21"/>
                <w:szCs w:val="21"/>
              </w:rPr>
              <w:t>溶江</w:t>
            </w:r>
            <w:r>
              <w:rPr>
                <w:rFonts w:hint="eastAsia"/>
                <w:sz w:val="21"/>
                <w:szCs w:val="21"/>
              </w:rPr>
              <w:t>镇</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300</w:t>
            </w:r>
          </w:p>
        </w:tc>
      </w:tr>
      <w:tr>
        <w:tblPrEx>
          <w:tblCellMar>
            <w:top w:w="0" w:type="dxa"/>
            <w:left w:w="0" w:type="dxa"/>
            <w:bottom w:w="0" w:type="dxa"/>
            <w:right w:w="0" w:type="dxa"/>
          </w:tblCellMar>
        </w:tblPrEx>
        <w:trPr>
          <w:trHeight w:val="84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14</w:t>
            </w:r>
          </w:p>
        </w:tc>
        <w:tc>
          <w:tcPr>
            <w:tcW w:w="1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优质柑桔种植示范基地建设项目</w:t>
            </w:r>
          </w:p>
        </w:tc>
        <w:tc>
          <w:tcPr>
            <w:tcW w:w="5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①在界首镇、湘漓镇建设以南丰蜜桔、高档脐橙等新品种为主的绿色柑桔示范基地5000亩和柑桔黄龙病综合防控示范基地2万亩。②在高尚镇、兴安镇、严关镇、溶江镇建设柑桔新品种种植示范基地1万亩，引进种植柑桔新品种，发展冰糖橙和加工橙类。</w:t>
            </w:r>
          </w:p>
        </w:tc>
        <w:tc>
          <w:tcPr>
            <w:tcW w:w="14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界首镇、湘漓镇、高尚镇、兴安镇、严关镇、溶江镇</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3000</w:t>
            </w:r>
          </w:p>
        </w:tc>
      </w:tr>
      <w:tr>
        <w:tblPrEx>
          <w:tblCellMar>
            <w:top w:w="0" w:type="dxa"/>
            <w:left w:w="0" w:type="dxa"/>
            <w:bottom w:w="0" w:type="dxa"/>
            <w:right w:w="0" w:type="dxa"/>
          </w:tblCellMar>
        </w:tblPrEx>
        <w:trPr>
          <w:trHeight w:val="60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15</w:t>
            </w:r>
          </w:p>
        </w:tc>
        <w:tc>
          <w:tcPr>
            <w:tcW w:w="1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柑桔采后商品化处理分级包装示范中心项目</w:t>
            </w:r>
          </w:p>
        </w:tc>
        <w:tc>
          <w:tcPr>
            <w:tcW w:w="5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在界首镇、湘漓镇各改造1个大型和1个中型现代化商品化处理分级包装中心。</w:t>
            </w:r>
          </w:p>
        </w:tc>
        <w:tc>
          <w:tcPr>
            <w:tcW w:w="14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界首镇、湘漓镇</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500</w:t>
            </w:r>
          </w:p>
        </w:tc>
      </w:tr>
      <w:tr>
        <w:tblPrEx>
          <w:tblCellMar>
            <w:top w:w="0" w:type="dxa"/>
            <w:left w:w="0" w:type="dxa"/>
            <w:bottom w:w="0" w:type="dxa"/>
            <w:right w:w="0" w:type="dxa"/>
          </w:tblCellMar>
        </w:tblPrEx>
        <w:trPr>
          <w:trHeight w:val="440" w:hRule="atLeast"/>
        </w:trPr>
        <w:tc>
          <w:tcPr>
            <w:tcW w:w="878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b/>
                <w:bCs/>
                <w:sz w:val="21"/>
                <w:szCs w:val="21"/>
              </w:rPr>
            </w:pPr>
            <w:r>
              <w:rPr>
                <w:rFonts w:hint="eastAsia"/>
                <w:b/>
                <w:bCs/>
                <w:sz w:val="21"/>
                <w:szCs w:val="21"/>
              </w:rPr>
              <w:t>小计</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b/>
                <w:bCs/>
                <w:sz w:val="21"/>
                <w:szCs w:val="21"/>
              </w:rPr>
            </w:pPr>
            <w:r>
              <w:rPr>
                <w:rFonts w:hint="eastAsia"/>
                <w:b/>
                <w:bCs/>
                <w:sz w:val="21"/>
                <w:szCs w:val="21"/>
              </w:rPr>
              <w:t>3800</w:t>
            </w:r>
          </w:p>
        </w:tc>
      </w:tr>
      <w:tr>
        <w:tblPrEx>
          <w:tblCellMar>
            <w:top w:w="0" w:type="dxa"/>
            <w:left w:w="0" w:type="dxa"/>
            <w:bottom w:w="0" w:type="dxa"/>
            <w:right w:w="0" w:type="dxa"/>
          </w:tblCellMar>
        </w:tblPrEx>
        <w:trPr>
          <w:trHeight w:val="500" w:hRule="atLeast"/>
        </w:trPr>
        <w:tc>
          <w:tcPr>
            <w:tcW w:w="9881" w:type="dxa"/>
            <w:gridSpan w:val="5"/>
            <w:tcBorders>
              <w:top w:val="single" w:color="000000" w:sz="4" w:space="0"/>
              <w:left w:val="single" w:color="000000" w:sz="4" w:space="0"/>
              <w:bottom w:val="single" w:color="000000" w:sz="4" w:space="0"/>
              <w:right w:val="single" w:color="000000" w:sz="4" w:space="0"/>
            </w:tcBorders>
            <w:shd w:val="clear" w:color="auto" w:fill="C6E0B4"/>
            <w:tcMar>
              <w:top w:w="15" w:type="dxa"/>
              <w:left w:w="15" w:type="dxa"/>
              <w:right w:w="15" w:type="dxa"/>
            </w:tcMar>
            <w:vAlign w:val="center"/>
          </w:tcPr>
          <w:p>
            <w:pPr>
              <w:pStyle w:val="6"/>
              <w:rPr>
                <w:b/>
                <w:bCs/>
                <w:sz w:val="21"/>
                <w:szCs w:val="21"/>
              </w:rPr>
            </w:pPr>
            <w:r>
              <w:rPr>
                <w:rFonts w:hint="eastAsia"/>
                <w:b/>
                <w:bCs/>
                <w:sz w:val="21"/>
                <w:szCs w:val="21"/>
              </w:rPr>
              <w:t>（五）食用菌产业</w:t>
            </w:r>
          </w:p>
        </w:tc>
      </w:tr>
      <w:tr>
        <w:tblPrEx>
          <w:tblCellMar>
            <w:top w:w="0" w:type="dxa"/>
            <w:left w:w="0" w:type="dxa"/>
            <w:bottom w:w="0" w:type="dxa"/>
            <w:right w:w="0" w:type="dxa"/>
          </w:tblCellMar>
        </w:tblPrEx>
        <w:trPr>
          <w:trHeight w:val="64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16</w:t>
            </w:r>
          </w:p>
        </w:tc>
        <w:tc>
          <w:tcPr>
            <w:tcW w:w="1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食用菌技术服务平台建设项目</w:t>
            </w:r>
          </w:p>
        </w:tc>
        <w:tc>
          <w:tcPr>
            <w:tcW w:w="5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以兴安县食用菌试验中心、反季节栽培香菇推广中心、食用菌技术培训基地等机构为依托，打造兴安县食用菌新品种试验示范、良种筛选、保育促繁、检验检测、技术培训、推广等技术服务平台。</w:t>
            </w:r>
          </w:p>
        </w:tc>
        <w:tc>
          <w:tcPr>
            <w:tcW w:w="14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兴安县农科所</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500</w:t>
            </w:r>
          </w:p>
        </w:tc>
      </w:tr>
      <w:tr>
        <w:tblPrEx>
          <w:tblCellMar>
            <w:top w:w="0" w:type="dxa"/>
            <w:left w:w="0" w:type="dxa"/>
            <w:bottom w:w="0" w:type="dxa"/>
            <w:right w:w="0" w:type="dxa"/>
          </w:tblCellMar>
        </w:tblPrEx>
        <w:trPr>
          <w:trHeight w:val="66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17</w:t>
            </w:r>
          </w:p>
        </w:tc>
        <w:tc>
          <w:tcPr>
            <w:tcW w:w="1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标准化食用菌高效栽培示范基地建设项目</w:t>
            </w:r>
          </w:p>
        </w:tc>
        <w:tc>
          <w:tcPr>
            <w:tcW w:w="5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5万平方米，大力扶持食用菌生产家庭农场、专业合作社、中小型生产企业等新型生产经营主体，采取“公司+基地+农户”的模式，推行标准化生产技术，建设一批规模化、标准化食用菌生产基地。</w:t>
            </w:r>
          </w:p>
        </w:tc>
        <w:tc>
          <w:tcPr>
            <w:tcW w:w="14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高尚镇、兴安镇、湘漓镇</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3000</w:t>
            </w:r>
          </w:p>
        </w:tc>
      </w:tr>
      <w:tr>
        <w:tblPrEx>
          <w:tblCellMar>
            <w:top w:w="0" w:type="dxa"/>
            <w:left w:w="0" w:type="dxa"/>
            <w:bottom w:w="0" w:type="dxa"/>
            <w:right w:w="0" w:type="dxa"/>
          </w:tblCellMar>
        </w:tblPrEx>
        <w:trPr>
          <w:trHeight w:val="60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18</w:t>
            </w:r>
          </w:p>
        </w:tc>
        <w:tc>
          <w:tcPr>
            <w:tcW w:w="1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仿生态食用菌生产示范基地</w:t>
            </w:r>
          </w:p>
        </w:tc>
        <w:tc>
          <w:tcPr>
            <w:tcW w:w="5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1万平方米以上，在溶江镇（金石片区）、华江瑶族乡、漠川乡等乡镇高山贫困地区，培育发展灵芝、木耳、香菇等特色品种食用菌，建设仿生态食用菌种植示范基地。</w:t>
            </w:r>
          </w:p>
        </w:tc>
        <w:tc>
          <w:tcPr>
            <w:tcW w:w="14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溶江镇（金石片区）、华江瑶族乡、漠川乡</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1000</w:t>
            </w:r>
          </w:p>
        </w:tc>
      </w:tr>
      <w:tr>
        <w:tblPrEx>
          <w:tblCellMar>
            <w:top w:w="0" w:type="dxa"/>
            <w:left w:w="0" w:type="dxa"/>
            <w:bottom w:w="0" w:type="dxa"/>
            <w:right w:w="0" w:type="dxa"/>
          </w:tblCellMar>
        </w:tblPrEx>
        <w:trPr>
          <w:trHeight w:val="64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19</w:t>
            </w:r>
          </w:p>
        </w:tc>
        <w:tc>
          <w:tcPr>
            <w:tcW w:w="1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立体循环食用菌生产示范基地建设项目</w:t>
            </w:r>
          </w:p>
        </w:tc>
        <w:tc>
          <w:tcPr>
            <w:tcW w:w="5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1万平方米以上，大力推广以畜禽粪便综合利用为核心的“甜玉米—养牛—食用菌”的立体循环食用菌生产，建设立体循环食用菌生产示范基地。</w:t>
            </w:r>
          </w:p>
        </w:tc>
        <w:tc>
          <w:tcPr>
            <w:tcW w:w="14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高尚镇、崔家乡</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800</w:t>
            </w:r>
          </w:p>
        </w:tc>
      </w:tr>
      <w:tr>
        <w:tblPrEx>
          <w:tblCellMar>
            <w:top w:w="0" w:type="dxa"/>
            <w:left w:w="0" w:type="dxa"/>
            <w:bottom w:w="0" w:type="dxa"/>
            <w:right w:w="0" w:type="dxa"/>
          </w:tblCellMar>
        </w:tblPrEx>
        <w:trPr>
          <w:trHeight w:val="440" w:hRule="atLeast"/>
        </w:trPr>
        <w:tc>
          <w:tcPr>
            <w:tcW w:w="878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b/>
                <w:bCs/>
                <w:sz w:val="21"/>
                <w:szCs w:val="21"/>
              </w:rPr>
            </w:pPr>
            <w:r>
              <w:rPr>
                <w:rFonts w:hint="eastAsia"/>
                <w:b/>
                <w:bCs/>
                <w:sz w:val="21"/>
                <w:szCs w:val="21"/>
              </w:rPr>
              <w:t>小计</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b/>
                <w:bCs/>
                <w:sz w:val="21"/>
                <w:szCs w:val="21"/>
              </w:rPr>
            </w:pPr>
            <w:r>
              <w:rPr>
                <w:rFonts w:hint="eastAsia"/>
                <w:b/>
                <w:bCs/>
                <w:sz w:val="21"/>
                <w:szCs w:val="21"/>
              </w:rPr>
              <w:t>5300</w:t>
            </w:r>
          </w:p>
        </w:tc>
      </w:tr>
      <w:tr>
        <w:tblPrEx>
          <w:tblCellMar>
            <w:top w:w="0" w:type="dxa"/>
            <w:left w:w="0" w:type="dxa"/>
            <w:bottom w:w="0" w:type="dxa"/>
            <w:right w:w="0" w:type="dxa"/>
          </w:tblCellMar>
        </w:tblPrEx>
        <w:trPr>
          <w:trHeight w:val="500" w:hRule="atLeast"/>
        </w:trPr>
        <w:tc>
          <w:tcPr>
            <w:tcW w:w="8784" w:type="dxa"/>
            <w:gridSpan w:val="4"/>
            <w:tcBorders>
              <w:top w:val="single" w:color="000000" w:sz="4" w:space="0"/>
              <w:left w:val="single" w:color="000000" w:sz="4" w:space="0"/>
              <w:bottom w:val="single" w:color="000000" w:sz="4" w:space="0"/>
              <w:right w:val="single" w:color="000000" w:sz="4" w:space="0"/>
            </w:tcBorders>
            <w:shd w:val="clear" w:color="auto" w:fill="9BC2E6"/>
            <w:tcMar>
              <w:top w:w="15" w:type="dxa"/>
              <w:left w:w="15" w:type="dxa"/>
              <w:right w:w="15" w:type="dxa"/>
            </w:tcMar>
            <w:vAlign w:val="center"/>
          </w:tcPr>
          <w:p>
            <w:pPr>
              <w:pStyle w:val="6"/>
              <w:jc w:val="center"/>
              <w:rPr>
                <w:b/>
                <w:bCs/>
                <w:sz w:val="21"/>
                <w:szCs w:val="21"/>
              </w:rPr>
            </w:pPr>
            <w:r>
              <w:rPr>
                <w:rFonts w:hint="eastAsia"/>
                <w:b/>
                <w:bCs/>
                <w:sz w:val="21"/>
                <w:szCs w:val="21"/>
              </w:rPr>
              <w:t>二、产业配套重点项目建设</w:t>
            </w:r>
          </w:p>
        </w:tc>
        <w:tc>
          <w:tcPr>
            <w:tcW w:w="1097" w:type="dxa"/>
            <w:tcBorders>
              <w:top w:val="single" w:color="000000" w:sz="4" w:space="0"/>
              <w:left w:val="single" w:color="000000" w:sz="4" w:space="0"/>
              <w:bottom w:val="single" w:color="000000" w:sz="4" w:space="0"/>
              <w:right w:val="single" w:color="000000" w:sz="4" w:space="0"/>
            </w:tcBorders>
            <w:shd w:val="clear" w:color="auto" w:fill="9BC2E6"/>
            <w:tcMar>
              <w:top w:w="15" w:type="dxa"/>
              <w:left w:w="15" w:type="dxa"/>
              <w:right w:w="15" w:type="dxa"/>
            </w:tcMar>
            <w:vAlign w:val="center"/>
          </w:tcPr>
          <w:p>
            <w:pPr>
              <w:pStyle w:val="6"/>
              <w:jc w:val="center"/>
              <w:rPr>
                <w:b/>
                <w:bCs/>
                <w:sz w:val="21"/>
                <w:szCs w:val="21"/>
              </w:rPr>
            </w:pPr>
            <w:r>
              <w:rPr>
                <w:rFonts w:hint="eastAsia"/>
                <w:b/>
                <w:bCs/>
                <w:sz w:val="21"/>
                <w:szCs w:val="21"/>
              </w:rPr>
              <w:t>36270</w:t>
            </w:r>
          </w:p>
        </w:tc>
      </w:tr>
      <w:tr>
        <w:tblPrEx>
          <w:tblCellMar>
            <w:top w:w="0" w:type="dxa"/>
            <w:left w:w="0" w:type="dxa"/>
            <w:bottom w:w="0" w:type="dxa"/>
            <w:right w:w="0" w:type="dxa"/>
          </w:tblCellMar>
        </w:tblPrEx>
        <w:trPr>
          <w:trHeight w:val="500" w:hRule="atLeast"/>
        </w:trPr>
        <w:tc>
          <w:tcPr>
            <w:tcW w:w="9881" w:type="dxa"/>
            <w:gridSpan w:val="5"/>
            <w:tcBorders>
              <w:top w:val="single" w:color="000000" w:sz="4" w:space="0"/>
              <w:left w:val="single" w:color="000000" w:sz="4" w:space="0"/>
              <w:bottom w:val="single" w:color="000000" w:sz="4" w:space="0"/>
              <w:right w:val="single" w:color="000000" w:sz="4" w:space="0"/>
            </w:tcBorders>
            <w:shd w:val="clear" w:color="auto" w:fill="C6E0B4"/>
            <w:tcMar>
              <w:top w:w="15" w:type="dxa"/>
              <w:left w:w="15" w:type="dxa"/>
              <w:right w:w="15" w:type="dxa"/>
            </w:tcMar>
            <w:vAlign w:val="center"/>
          </w:tcPr>
          <w:p>
            <w:pPr>
              <w:pStyle w:val="6"/>
              <w:rPr>
                <w:b/>
                <w:bCs/>
                <w:sz w:val="21"/>
                <w:szCs w:val="21"/>
              </w:rPr>
            </w:pPr>
            <w:r>
              <w:rPr>
                <w:rFonts w:hint="eastAsia"/>
                <w:b/>
                <w:bCs/>
                <w:sz w:val="21"/>
                <w:szCs w:val="21"/>
              </w:rPr>
              <w:t>（一）加工贸易基地建设</w:t>
            </w:r>
          </w:p>
        </w:tc>
      </w:tr>
      <w:tr>
        <w:tblPrEx>
          <w:tblCellMar>
            <w:top w:w="0" w:type="dxa"/>
            <w:left w:w="0" w:type="dxa"/>
            <w:bottom w:w="0" w:type="dxa"/>
            <w:right w:w="0" w:type="dxa"/>
          </w:tblCellMar>
        </w:tblPrEx>
        <w:trPr>
          <w:trHeight w:val="66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20</w:t>
            </w:r>
          </w:p>
        </w:tc>
        <w:tc>
          <w:tcPr>
            <w:tcW w:w="1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兴安县现代特色农产品加工产业园</w:t>
            </w:r>
          </w:p>
        </w:tc>
        <w:tc>
          <w:tcPr>
            <w:tcW w:w="5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打造一个综合型农产品加工物流中心、依托中心建设特色农产品展示平台，配合旅游项目，实现特色农产品加工、物流配送、展示交易、消费体验与一体化的大型农产品加工产业园区。</w:t>
            </w:r>
          </w:p>
        </w:tc>
        <w:tc>
          <w:tcPr>
            <w:tcW w:w="14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兴安镇</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30000</w:t>
            </w:r>
          </w:p>
        </w:tc>
      </w:tr>
      <w:tr>
        <w:tblPrEx>
          <w:tblCellMar>
            <w:top w:w="0" w:type="dxa"/>
            <w:left w:w="0" w:type="dxa"/>
            <w:bottom w:w="0" w:type="dxa"/>
            <w:right w:w="0" w:type="dxa"/>
          </w:tblCellMar>
        </w:tblPrEx>
        <w:trPr>
          <w:trHeight w:val="829"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21</w:t>
            </w:r>
          </w:p>
        </w:tc>
        <w:tc>
          <w:tcPr>
            <w:tcW w:w="1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桂北农产品综合交易中心</w:t>
            </w:r>
          </w:p>
        </w:tc>
        <w:tc>
          <w:tcPr>
            <w:tcW w:w="5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建设一个集批发交易、加工配送、仓储、物流运输、电子商务、品牌培育为一体的农产品供应链综合服务平台。</w:t>
            </w:r>
          </w:p>
        </w:tc>
        <w:tc>
          <w:tcPr>
            <w:tcW w:w="14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界首镇</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1500</w:t>
            </w:r>
          </w:p>
        </w:tc>
      </w:tr>
      <w:tr>
        <w:tblPrEx>
          <w:tblCellMar>
            <w:top w:w="0" w:type="dxa"/>
            <w:left w:w="0" w:type="dxa"/>
            <w:bottom w:w="0" w:type="dxa"/>
            <w:right w:w="0" w:type="dxa"/>
          </w:tblCellMar>
        </w:tblPrEx>
        <w:trPr>
          <w:trHeight w:val="60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22</w:t>
            </w:r>
          </w:p>
        </w:tc>
        <w:tc>
          <w:tcPr>
            <w:tcW w:w="1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特色农产品产地专业市场升级改造项目</w:t>
            </w:r>
          </w:p>
        </w:tc>
        <w:tc>
          <w:tcPr>
            <w:tcW w:w="5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建设或升级3-5个辐射带动力强的产地专业批发市场，配合当地旅游资源，开展旅游节庆会展活动。</w:t>
            </w:r>
          </w:p>
        </w:tc>
        <w:tc>
          <w:tcPr>
            <w:tcW w:w="14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溶江镇、界首镇、高尚镇等</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500</w:t>
            </w:r>
          </w:p>
        </w:tc>
      </w:tr>
      <w:tr>
        <w:tblPrEx>
          <w:tblCellMar>
            <w:top w:w="0" w:type="dxa"/>
            <w:left w:w="0" w:type="dxa"/>
            <w:bottom w:w="0" w:type="dxa"/>
            <w:right w:w="0" w:type="dxa"/>
          </w:tblCellMar>
        </w:tblPrEx>
        <w:trPr>
          <w:trHeight w:val="500" w:hRule="atLeast"/>
        </w:trPr>
        <w:tc>
          <w:tcPr>
            <w:tcW w:w="878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b/>
                <w:bCs/>
                <w:sz w:val="21"/>
                <w:szCs w:val="21"/>
              </w:rPr>
            </w:pPr>
            <w:r>
              <w:rPr>
                <w:rFonts w:hint="eastAsia"/>
                <w:b/>
                <w:bCs/>
                <w:sz w:val="21"/>
                <w:szCs w:val="21"/>
              </w:rPr>
              <w:t>小计</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b/>
                <w:bCs/>
                <w:sz w:val="21"/>
                <w:szCs w:val="21"/>
              </w:rPr>
            </w:pPr>
            <w:r>
              <w:rPr>
                <w:rFonts w:hint="eastAsia"/>
                <w:b/>
                <w:bCs/>
                <w:sz w:val="21"/>
                <w:szCs w:val="21"/>
              </w:rPr>
              <w:t>32000</w:t>
            </w:r>
          </w:p>
        </w:tc>
      </w:tr>
      <w:tr>
        <w:tblPrEx>
          <w:tblCellMar>
            <w:top w:w="0" w:type="dxa"/>
            <w:left w:w="0" w:type="dxa"/>
            <w:bottom w:w="0" w:type="dxa"/>
            <w:right w:w="0" w:type="dxa"/>
          </w:tblCellMar>
        </w:tblPrEx>
        <w:trPr>
          <w:trHeight w:val="500" w:hRule="atLeast"/>
        </w:trPr>
        <w:tc>
          <w:tcPr>
            <w:tcW w:w="9881" w:type="dxa"/>
            <w:gridSpan w:val="5"/>
            <w:tcBorders>
              <w:top w:val="single" w:color="000000" w:sz="4" w:space="0"/>
              <w:left w:val="single" w:color="000000" w:sz="4" w:space="0"/>
              <w:bottom w:val="single" w:color="000000" w:sz="4" w:space="0"/>
              <w:right w:val="single" w:color="000000" w:sz="4" w:space="0"/>
            </w:tcBorders>
            <w:shd w:val="clear" w:color="auto" w:fill="C6E0B4"/>
            <w:tcMar>
              <w:top w:w="15" w:type="dxa"/>
              <w:left w:w="15" w:type="dxa"/>
              <w:right w:w="15" w:type="dxa"/>
            </w:tcMar>
            <w:vAlign w:val="center"/>
          </w:tcPr>
          <w:p>
            <w:pPr>
              <w:pStyle w:val="6"/>
              <w:rPr>
                <w:b/>
                <w:bCs/>
                <w:sz w:val="21"/>
                <w:szCs w:val="21"/>
              </w:rPr>
            </w:pPr>
            <w:r>
              <w:rPr>
                <w:rFonts w:hint="eastAsia"/>
                <w:b/>
                <w:bCs/>
                <w:sz w:val="21"/>
                <w:szCs w:val="21"/>
              </w:rPr>
              <w:t>（二）科技支撑体系建设</w:t>
            </w:r>
          </w:p>
        </w:tc>
      </w:tr>
      <w:tr>
        <w:tblPrEx>
          <w:tblCellMar>
            <w:top w:w="0" w:type="dxa"/>
            <w:left w:w="0" w:type="dxa"/>
            <w:bottom w:w="0" w:type="dxa"/>
            <w:right w:w="0" w:type="dxa"/>
          </w:tblCellMar>
        </w:tblPrEx>
        <w:trPr>
          <w:trHeight w:val="401"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23</w:t>
            </w:r>
          </w:p>
        </w:tc>
        <w:tc>
          <w:tcPr>
            <w:tcW w:w="1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新品种培育</w:t>
            </w:r>
          </w:p>
        </w:tc>
        <w:tc>
          <w:tcPr>
            <w:tcW w:w="5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1.品种改良及提纯复壮工程；2.先进技术引进与宣传；3.样品室、实验室、仪器室、资料室以及配套设施建设。</w:t>
            </w:r>
          </w:p>
        </w:tc>
        <w:tc>
          <w:tcPr>
            <w:tcW w:w="14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全县</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380</w:t>
            </w:r>
          </w:p>
        </w:tc>
      </w:tr>
      <w:tr>
        <w:tblPrEx>
          <w:tblCellMar>
            <w:top w:w="0" w:type="dxa"/>
            <w:left w:w="0" w:type="dxa"/>
            <w:bottom w:w="0" w:type="dxa"/>
            <w:right w:w="0" w:type="dxa"/>
          </w:tblCellMar>
        </w:tblPrEx>
        <w:trPr>
          <w:trHeight w:val="555"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24</w:t>
            </w:r>
          </w:p>
        </w:tc>
        <w:tc>
          <w:tcPr>
            <w:tcW w:w="1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农业产学研合作</w:t>
            </w:r>
          </w:p>
        </w:tc>
        <w:tc>
          <w:tcPr>
            <w:tcW w:w="5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主要为农业科技服务、科技研发等项目。</w:t>
            </w:r>
          </w:p>
        </w:tc>
        <w:tc>
          <w:tcPr>
            <w:tcW w:w="14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全县</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450</w:t>
            </w:r>
          </w:p>
        </w:tc>
      </w:tr>
      <w:tr>
        <w:tblPrEx>
          <w:tblCellMar>
            <w:top w:w="0" w:type="dxa"/>
            <w:left w:w="0" w:type="dxa"/>
            <w:bottom w:w="0" w:type="dxa"/>
            <w:right w:w="0" w:type="dxa"/>
          </w:tblCellMar>
        </w:tblPrEx>
        <w:trPr>
          <w:trHeight w:val="527"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25</w:t>
            </w:r>
          </w:p>
        </w:tc>
        <w:tc>
          <w:tcPr>
            <w:tcW w:w="1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生产技能培训与推广</w:t>
            </w:r>
          </w:p>
        </w:tc>
        <w:tc>
          <w:tcPr>
            <w:tcW w:w="5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劳动技能、农科知识培训等职业技术培训项目。</w:t>
            </w:r>
          </w:p>
        </w:tc>
        <w:tc>
          <w:tcPr>
            <w:tcW w:w="14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全县</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100</w:t>
            </w:r>
          </w:p>
        </w:tc>
      </w:tr>
      <w:tr>
        <w:tblPrEx>
          <w:tblCellMar>
            <w:top w:w="0" w:type="dxa"/>
            <w:left w:w="0" w:type="dxa"/>
            <w:bottom w:w="0" w:type="dxa"/>
            <w:right w:w="0" w:type="dxa"/>
          </w:tblCellMar>
        </w:tblPrEx>
        <w:trPr>
          <w:trHeight w:val="50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26</w:t>
            </w:r>
          </w:p>
        </w:tc>
        <w:tc>
          <w:tcPr>
            <w:tcW w:w="1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专业人才引进</w:t>
            </w:r>
          </w:p>
        </w:tc>
        <w:tc>
          <w:tcPr>
            <w:tcW w:w="5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人才引进项目。</w:t>
            </w:r>
          </w:p>
        </w:tc>
        <w:tc>
          <w:tcPr>
            <w:tcW w:w="14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全县</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250</w:t>
            </w:r>
          </w:p>
        </w:tc>
      </w:tr>
      <w:tr>
        <w:tblPrEx>
          <w:tblCellMar>
            <w:top w:w="0" w:type="dxa"/>
            <w:left w:w="0" w:type="dxa"/>
            <w:bottom w:w="0" w:type="dxa"/>
            <w:right w:w="0" w:type="dxa"/>
          </w:tblCellMar>
        </w:tblPrEx>
        <w:trPr>
          <w:trHeight w:val="440" w:hRule="atLeast"/>
        </w:trPr>
        <w:tc>
          <w:tcPr>
            <w:tcW w:w="878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b/>
                <w:bCs/>
                <w:sz w:val="21"/>
                <w:szCs w:val="21"/>
              </w:rPr>
            </w:pPr>
            <w:r>
              <w:rPr>
                <w:rFonts w:hint="eastAsia"/>
                <w:b/>
                <w:bCs/>
                <w:sz w:val="21"/>
                <w:szCs w:val="21"/>
              </w:rPr>
              <w:t>小计</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b/>
                <w:bCs/>
                <w:sz w:val="21"/>
                <w:szCs w:val="21"/>
              </w:rPr>
            </w:pPr>
            <w:r>
              <w:rPr>
                <w:rFonts w:hint="eastAsia"/>
                <w:b/>
                <w:bCs/>
                <w:sz w:val="21"/>
                <w:szCs w:val="21"/>
              </w:rPr>
              <w:t>1180</w:t>
            </w:r>
          </w:p>
        </w:tc>
      </w:tr>
      <w:tr>
        <w:tblPrEx>
          <w:tblCellMar>
            <w:top w:w="0" w:type="dxa"/>
            <w:left w:w="0" w:type="dxa"/>
            <w:bottom w:w="0" w:type="dxa"/>
            <w:right w:w="0" w:type="dxa"/>
          </w:tblCellMar>
        </w:tblPrEx>
        <w:trPr>
          <w:trHeight w:val="500" w:hRule="atLeast"/>
        </w:trPr>
        <w:tc>
          <w:tcPr>
            <w:tcW w:w="9881" w:type="dxa"/>
            <w:gridSpan w:val="5"/>
            <w:tcBorders>
              <w:top w:val="single" w:color="000000" w:sz="4" w:space="0"/>
              <w:left w:val="single" w:color="000000" w:sz="4" w:space="0"/>
              <w:bottom w:val="single" w:color="000000" w:sz="4" w:space="0"/>
              <w:right w:val="single" w:color="000000" w:sz="4" w:space="0"/>
            </w:tcBorders>
            <w:shd w:val="clear" w:color="auto" w:fill="C6E0B4"/>
            <w:tcMar>
              <w:top w:w="15" w:type="dxa"/>
              <w:left w:w="15" w:type="dxa"/>
              <w:right w:w="15" w:type="dxa"/>
            </w:tcMar>
            <w:vAlign w:val="center"/>
          </w:tcPr>
          <w:p>
            <w:pPr>
              <w:pStyle w:val="6"/>
              <w:rPr>
                <w:b/>
                <w:bCs/>
                <w:sz w:val="21"/>
                <w:szCs w:val="21"/>
              </w:rPr>
            </w:pPr>
            <w:r>
              <w:rPr>
                <w:rFonts w:hint="eastAsia"/>
                <w:b/>
                <w:bCs/>
                <w:sz w:val="21"/>
                <w:szCs w:val="21"/>
              </w:rPr>
              <w:t>（三）信息化体系建设</w:t>
            </w:r>
          </w:p>
        </w:tc>
      </w:tr>
      <w:tr>
        <w:tblPrEx>
          <w:tblCellMar>
            <w:top w:w="0" w:type="dxa"/>
            <w:left w:w="0" w:type="dxa"/>
            <w:bottom w:w="0" w:type="dxa"/>
            <w:right w:w="0" w:type="dxa"/>
          </w:tblCellMar>
        </w:tblPrEx>
        <w:trPr>
          <w:trHeight w:val="712"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27</w:t>
            </w:r>
          </w:p>
        </w:tc>
        <w:tc>
          <w:tcPr>
            <w:tcW w:w="1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农业信息发布服务系统</w:t>
            </w:r>
          </w:p>
        </w:tc>
        <w:tc>
          <w:tcPr>
            <w:tcW w:w="5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建设1项包括信息发布服务系统平台建设、平台管理和电脑及配套设施。</w:t>
            </w:r>
          </w:p>
        </w:tc>
        <w:tc>
          <w:tcPr>
            <w:tcW w:w="14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全县</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300</w:t>
            </w:r>
          </w:p>
        </w:tc>
      </w:tr>
      <w:tr>
        <w:tblPrEx>
          <w:tblCellMar>
            <w:top w:w="0" w:type="dxa"/>
            <w:left w:w="0" w:type="dxa"/>
            <w:bottom w:w="0" w:type="dxa"/>
            <w:right w:w="0" w:type="dxa"/>
          </w:tblCellMar>
        </w:tblPrEx>
        <w:trPr>
          <w:trHeight w:val="765"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28</w:t>
            </w:r>
          </w:p>
        </w:tc>
        <w:tc>
          <w:tcPr>
            <w:tcW w:w="1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市场与农技信息服务系统</w:t>
            </w:r>
          </w:p>
        </w:tc>
        <w:tc>
          <w:tcPr>
            <w:tcW w:w="5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1.建设一项包括市场与农技信息服务平台建设及配套设施；2.开展1项实用信息采集、处理与发布。</w:t>
            </w:r>
          </w:p>
        </w:tc>
        <w:tc>
          <w:tcPr>
            <w:tcW w:w="14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全县</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250</w:t>
            </w:r>
          </w:p>
        </w:tc>
      </w:tr>
      <w:tr>
        <w:tblPrEx>
          <w:tblCellMar>
            <w:top w:w="0" w:type="dxa"/>
            <w:left w:w="0" w:type="dxa"/>
            <w:bottom w:w="0" w:type="dxa"/>
            <w:right w:w="0" w:type="dxa"/>
          </w:tblCellMar>
        </w:tblPrEx>
        <w:trPr>
          <w:trHeight w:val="746"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29</w:t>
            </w:r>
          </w:p>
        </w:tc>
        <w:tc>
          <w:tcPr>
            <w:tcW w:w="1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建设农业电子商务平台</w:t>
            </w:r>
          </w:p>
        </w:tc>
        <w:tc>
          <w:tcPr>
            <w:tcW w:w="5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1.建设1项包括电子商务平台建设及配套设施；2.开展1项物流体系构建及相关配套。</w:t>
            </w:r>
          </w:p>
        </w:tc>
        <w:tc>
          <w:tcPr>
            <w:tcW w:w="14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全县</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280</w:t>
            </w:r>
          </w:p>
        </w:tc>
      </w:tr>
      <w:tr>
        <w:tblPrEx>
          <w:tblCellMar>
            <w:top w:w="0" w:type="dxa"/>
            <w:left w:w="0" w:type="dxa"/>
            <w:bottom w:w="0" w:type="dxa"/>
            <w:right w:w="0" w:type="dxa"/>
          </w:tblCellMar>
        </w:tblPrEx>
        <w:trPr>
          <w:trHeight w:val="440" w:hRule="atLeast"/>
        </w:trPr>
        <w:tc>
          <w:tcPr>
            <w:tcW w:w="878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b/>
                <w:bCs/>
                <w:sz w:val="21"/>
                <w:szCs w:val="21"/>
              </w:rPr>
            </w:pPr>
            <w:r>
              <w:rPr>
                <w:rFonts w:hint="eastAsia"/>
                <w:b/>
                <w:bCs/>
                <w:sz w:val="21"/>
                <w:szCs w:val="21"/>
              </w:rPr>
              <w:t>小计</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b/>
                <w:bCs/>
                <w:sz w:val="21"/>
                <w:szCs w:val="21"/>
              </w:rPr>
            </w:pPr>
            <w:r>
              <w:rPr>
                <w:rFonts w:hint="eastAsia"/>
                <w:b/>
                <w:bCs/>
                <w:sz w:val="21"/>
                <w:szCs w:val="21"/>
              </w:rPr>
              <w:t>830</w:t>
            </w:r>
          </w:p>
        </w:tc>
      </w:tr>
      <w:tr>
        <w:tblPrEx>
          <w:tblCellMar>
            <w:top w:w="0" w:type="dxa"/>
            <w:left w:w="0" w:type="dxa"/>
            <w:bottom w:w="0" w:type="dxa"/>
            <w:right w:w="0" w:type="dxa"/>
          </w:tblCellMar>
        </w:tblPrEx>
        <w:trPr>
          <w:trHeight w:val="500" w:hRule="atLeast"/>
        </w:trPr>
        <w:tc>
          <w:tcPr>
            <w:tcW w:w="9881" w:type="dxa"/>
            <w:gridSpan w:val="5"/>
            <w:tcBorders>
              <w:top w:val="single" w:color="000000" w:sz="4" w:space="0"/>
              <w:left w:val="single" w:color="000000" w:sz="4" w:space="0"/>
              <w:bottom w:val="single" w:color="000000" w:sz="4" w:space="0"/>
              <w:right w:val="single" w:color="000000" w:sz="4" w:space="0"/>
            </w:tcBorders>
            <w:shd w:val="clear" w:color="auto" w:fill="C6E0B4"/>
            <w:tcMar>
              <w:top w:w="15" w:type="dxa"/>
              <w:left w:w="15" w:type="dxa"/>
              <w:right w:w="15" w:type="dxa"/>
            </w:tcMar>
            <w:vAlign w:val="center"/>
          </w:tcPr>
          <w:p>
            <w:pPr>
              <w:pStyle w:val="6"/>
              <w:rPr>
                <w:b/>
                <w:bCs/>
                <w:sz w:val="21"/>
                <w:szCs w:val="21"/>
              </w:rPr>
            </w:pPr>
            <w:r>
              <w:rPr>
                <w:rFonts w:hint="eastAsia"/>
                <w:b/>
                <w:bCs/>
                <w:sz w:val="21"/>
                <w:szCs w:val="21"/>
              </w:rPr>
              <w:t>（四）品牌建设与市场营销体系建设</w:t>
            </w:r>
          </w:p>
        </w:tc>
      </w:tr>
      <w:tr>
        <w:tblPrEx>
          <w:tblCellMar>
            <w:top w:w="0" w:type="dxa"/>
            <w:left w:w="0" w:type="dxa"/>
            <w:bottom w:w="0" w:type="dxa"/>
            <w:right w:w="0" w:type="dxa"/>
          </w:tblCellMar>
        </w:tblPrEx>
        <w:trPr>
          <w:trHeight w:val="50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30</w:t>
            </w:r>
          </w:p>
        </w:tc>
        <w:tc>
          <w:tcPr>
            <w:tcW w:w="1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left"/>
              <w:textAlignment w:val="center"/>
              <w:rPr>
                <w:sz w:val="21"/>
                <w:szCs w:val="21"/>
              </w:rPr>
            </w:pPr>
            <w:r>
              <w:rPr>
                <w:rFonts w:hint="eastAsia" w:ascii="宋体" w:hAnsi="宋体" w:cs="宋体"/>
                <w:color w:val="000000"/>
                <w:kern w:val="0"/>
                <w:sz w:val="20"/>
                <w:szCs w:val="20"/>
                <w:lang w:bidi="ar"/>
              </w:rPr>
              <w:t>特色品牌培育</w:t>
            </w:r>
          </w:p>
        </w:tc>
        <w:tc>
          <w:tcPr>
            <w:tcW w:w="5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left"/>
              <w:textAlignment w:val="center"/>
              <w:rPr>
                <w:sz w:val="21"/>
                <w:szCs w:val="21"/>
              </w:rPr>
            </w:pPr>
            <w:r>
              <w:rPr>
                <w:rFonts w:hint="eastAsia" w:ascii="宋体" w:hAnsi="宋体" w:cs="宋体"/>
                <w:color w:val="000000"/>
                <w:kern w:val="0"/>
                <w:sz w:val="20"/>
                <w:szCs w:val="20"/>
                <w:lang w:bidi="ar"/>
              </w:rPr>
              <w:t>品牌打造与宣传推广，培育1批地方特色农产品品牌。</w:t>
            </w:r>
          </w:p>
        </w:tc>
        <w:tc>
          <w:tcPr>
            <w:tcW w:w="14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sz w:val="21"/>
                <w:szCs w:val="21"/>
              </w:rPr>
            </w:pPr>
            <w:r>
              <w:rPr>
                <w:rFonts w:hint="eastAsia" w:ascii="宋体" w:hAnsi="宋体" w:cs="宋体"/>
                <w:color w:val="000000"/>
                <w:kern w:val="0"/>
                <w:sz w:val="20"/>
                <w:szCs w:val="20"/>
                <w:lang w:bidi="ar"/>
              </w:rPr>
              <w:t>全县</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sz w:val="21"/>
                <w:szCs w:val="21"/>
              </w:rPr>
            </w:pPr>
            <w:r>
              <w:rPr>
                <w:rFonts w:hint="eastAsia" w:ascii="宋体" w:hAnsi="宋体" w:cs="宋体"/>
                <w:color w:val="000000"/>
                <w:kern w:val="0"/>
                <w:sz w:val="20"/>
                <w:szCs w:val="20"/>
                <w:lang w:bidi="ar"/>
              </w:rPr>
              <w:t>300</w:t>
            </w:r>
          </w:p>
        </w:tc>
      </w:tr>
      <w:tr>
        <w:tblPrEx>
          <w:tblCellMar>
            <w:top w:w="0" w:type="dxa"/>
            <w:left w:w="0" w:type="dxa"/>
            <w:bottom w:w="0" w:type="dxa"/>
            <w:right w:w="0" w:type="dxa"/>
          </w:tblCellMar>
        </w:tblPrEx>
        <w:trPr>
          <w:trHeight w:val="50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31</w:t>
            </w:r>
          </w:p>
        </w:tc>
        <w:tc>
          <w:tcPr>
            <w:tcW w:w="1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left"/>
              <w:textAlignment w:val="center"/>
              <w:rPr>
                <w:sz w:val="21"/>
                <w:szCs w:val="21"/>
              </w:rPr>
            </w:pPr>
            <w:r>
              <w:rPr>
                <w:rFonts w:hint="eastAsia" w:ascii="宋体" w:hAnsi="宋体" w:cs="宋体"/>
                <w:color w:val="000000"/>
                <w:kern w:val="0"/>
                <w:sz w:val="20"/>
                <w:szCs w:val="20"/>
                <w:lang w:bidi="ar"/>
              </w:rPr>
              <w:t>建立奖励制度</w:t>
            </w:r>
          </w:p>
        </w:tc>
        <w:tc>
          <w:tcPr>
            <w:tcW w:w="5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left"/>
              <w:textAlignment w:val="center"/>
              <w:rPr>
                <w:sz w:val="21"/>
                <w:szCs w:val="21"/>
              </w:rPr>
            </w:pPr>
            <w:r>
              <w:rPr>
                <w:rFonts w:hint="eastAsia" w:ascii="宋体" w:hAnsi="宋体" w:cs="宋体"/>
                <w:color w:val="000000"/>
                <w:kern w:val="0"/>
                <w:sz w:val="20"/>
                <w:szCs w:val="20"/>
                <w:lang w:bidi="ar"/>
              </w:rPr>
              <w:t>构建完善品牌，实施绿色食品、有机食品认证奖补制度。</w:t>
            </w:r>
          </w:p>
        </w:tc>
        <w:tc>
          <w:tcPr>
            <w:tcW w:w="14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sz w:val="21"/>
                <w:szCs w:val="21"/>
              </w:rPr>
            </w:pPr>
            <w:r>
              <w:rPr>
                <w:rFonts w:hint="eastAsia" w:ascii="宋体" w:hAnsi="宋体" w:cs="宋体"/>
                <w:color w:val="000000"/>
                <w:kern w:val="0"/>
                <w:sz w:val="20"/>
                <w:szCs w:val="20"/>
                <w:lang w:bidi="ar"/>
              </w:rPr>
              <w:t>全县</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sz w:val="21"/>
                <w:szCs w:val="21"/>
              </w:rPr>
            </w:pPr>
            <w:r>
              <w:rPr>
                <w:rFonts w:hint="eastAsia" w:ascii="宋体" w:hAnsi="宋体" w:cs="宋体"/>
                <w:color w:val="000000"/>
                <w:kern w:val="0"/>
                <w:sz w:val="20"/>
                <w:szCs w:val="20"/>
                <w:lang w:bidi="ar"/>
              </w:rPr>
              <w:t>150</w:t>
            </w:r>
          </w:p>
        </w:tc>
      </w:tr>
      <w:tr>
        <w:tblPrEx>
          <w:tblCellMar>
            <w:top w:w="0" w:type="dxa"/>
            <w:left w:w="0" w:type="dxa"/>
            <w:bottom w:w="0" w:type="dxa"/>
            <w:right w:w="0" w:type="dxa"/>
          </w:tblCellMar>
        </w:tblPrEx>
        <w:trPr>
          <w:trHeight w:val="54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32</w:t>
            </w:r>
          </w:p>
        </w:tc>
        <w:tc>
          <w:tcPr>
            <w:tcW w:w="1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left"/>
              <w:textAlignment w:val="center"/>
              <w:rPr>
                <w:sz w:val="21"/>
                <w:szCs w:val="21"/>
              </w:rPr>
            </w:pPr>
            <w:r>
              <w:rPr>
                <w:rFonts w:hint="eastAsia" w:ascii="宋体" w:hAnsi="宋体" w:cs="宋体"/>
                <w:color w:val="000000"/>
                <w:kern w:val="0"/>
                <w:sz w:val="20"/>
                <w:szCs w:val="20"/>
                <w:lang w:bidi="ar"/>
              </w:rPr>
              <w:t>市场营销体系</w:t>
            </w:r>
          </w:p>
        </w:tc>
        <w:tc>
          <w:tcPr>
            <w:tcW w:w="5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left"/>
              <w:textAlignment w:val="center"/>
              <w:rPr>
                <w:sz w:val="21"/>
                <w:szCs w:val="21"/>
              </w:rPr>
            </w:pPr>
            <w:r>
              <w:rPr>
                <w:rFonts w:hint="eastAsia" w:ascii="宋体" w:hAnsi="宋体" w:cs="宋体"/>
                <w:color w:val="000000"/>
                <w:kern w:val="0"/>
                <w:sz w:val="20"/>
                <w:szCs w:val="20"/>
                <w:lang w:bidi="ar"/>
              </w:rPr>
              <w:t>1.积极开展农产品博览会、农贸会、展销会等农产品宣传活动；2.支持奖励电商平台、物流等企业发展；3.电视广告推广。</w:t>
            </w:r>
          </w:p>
        </w:tc>
        <w:tc>
          <w:tcPr>
            <w:tcW w:w="14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sz w:val="21"/>
                <w:szCs w:val="21"/>
              </w:rPr>
            </w:pPr>
            <w:r>
              <w:rPr>
                <w:rFonts w:hint="eastAsia" w:ascii="宋体" w:hAnsi="宋体" w:cs="宋体"/>
                <w:color w:val="000000"/>
                <w:kern w:val="0"/>
                <w:sz w:val="20"/>
                <w:szCs w:val="20"/>
                <w:lang w:bidi="ar"/>
              </w:rPr>
              <w:t>全县</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sz w:val="21"/>
                <w:szCs w:val="21"/>
              </w:rPr>
            </w:pPr>
            <w:r>
              <w:rPr>
                <w:rFonts w:hint="eastAsia" w:ascii="宋体" w:hAnsi="宋体" w:cs="宋体"/>
                <w:color w:val="000000"/>
                <w:kern w:val="0"/>
                <w:sz w:val="20"/>
                <w:szCs w:val="20"/>
                <w:lang w:bidi="ar"/>
              </w:rPr>
              <w:t>750</w:t>
            </w:r>
          </w:p>
        </w:tc>
      </w:tr>
      <w:tr>
        <w:tblPrEx>
          <w:tblCellMar>
            <w:top w:w="0" w:type="dxa"/>
            <w:left w:w="0" w:type="dxa"/>
            <w:bottom w:w="0" w:type="dxa"/>
            <w:right w:w="0" w:type="dxa"/>
          </w:tblCellMar>
        </w:tblPrEx>
        <w:trPr>
          <w:trHeight w:val="440" w:hRule="atLeast"/>
        </w:trPr>
        <w:tc>
          <w:tcPr>
            <w:tcW w:w="878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b/>
                <w:bCs/>
                <w:sz w:val="21"/>
                <w:szCs w:val="21"/>
              </w:rPr>
            </w:pPr>
            <w:r>
              <w:rPr>
                <w:rFonts w:hint="eastAsia"/>
                <w:b/>
                <w:bCs/>
                <w:sz w:val="21"/>
                <w:szCs w:val="21"/>
              </w:rPr>
              <w:t>小计</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b/>
                <w:bCs/>
                <w:sz w:val="21"/>
                <w:szCs w:val="21"/>
              </w:rPr>
            </w:pPr>
            <w:r>
              <w:rPr>
                <w:rFonts w:hint="eastAsia"/>
                <w:b/>
                <w:bCs/>
                <w:sz w:val="21"/>
                <w:szCs w:val="21"/>
              </w:rPr>
              <w:t>1200</w:t>
            </w:r>
          </w:p>
        </w:tc>
      </w:tr>
      <w:tr>
        <w:tblPrEx>
          <w:tblCellMar>
            <w:top w:w="0" w:type="dxa"/>
            <w:left w:w="0" w:type="dxa"/>
            <w:bottom w:w="0" w:type="dxa"/>
            <w:right w:w="0" w:type="dxa"/>
          </w:tblCellMar>
        </w:tblPrEx>
        <w:trPr>
          <w:trHeight w:val="500" w:hRule="atLeast"/>
        </w:trPr>
        <w:tc>
          <w:tcPr>
            <w:tcW w:w="9881" w:type="dxa"/>
            <w:gridSpan w:val="5"/>
            <w:tcBorders>
              <w:top w:val="single" w:color="000000" w:sz="4" w:space="0"/>
              <w:left w:val="single" w:color="000000" w:sz="4" w:space="0"/>
              <w:bottom w:val="single" w:color="000000" w:sz="4" w:space="0"/>
              <w:right w:val="single" w:color="000000" w:sz="4" w:space="0"/>
            </w:tcBorders>
            <w:shd w:val="clear" w:color="auto" w:fill="C6E0B4"/>
            <w:tcMar>
              <w:top w:w="15" w:type="dxa"/>
              <w:left w:w="15" w:type="dxa"/>
              <w:right w:w="15" w:type="dxa"/>
            </w:tcMar>
            <w:vAlign w:val="center"/>
          </w:tcPr>
          <w:p>
            <w:pPr>
              <w:pStyle w:val="6"/>
              <w:rPr>
                <w:b/>
                <w:bCs/>
                <w:sz w:val="21"/>
                <w:szCs w:val="21"/>
              </w:rPr>
            </w:pPr>
            <w:r>
              <w:rPr>
                <w:rFonts w:hint="eastAsia"/>
                <w:b/>
                <w:bCs/>
                <w:sz w:val="21"/>
                <w:szCs w:val="21"/>
              </w:rPr>
              <w:t>（五）质量控制体系建设</w:t>
            </w:r>
          </w:p>
        </w:tc>
      </w:tr>
      <w:tr>
        <w:tblPrEx>
          <w:tblCellMar>
            <w:top w:w="0" w:type="dxa"/>
            <w:left w:w="0" w:type="dxa"/>
            <w:bottom w:w="0" w:type="dxa"/>
            <w:right w:w="0" w:type="dxa"/>
          </w:tblCellMar>
        </w:tblPrEx>
        <w:trPr>
          <w:trHeight w:val="50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33</w:t>
            </w:r>
          </w:p>
        </w:tc>
        <w:tc>
          <w:tcPr>
            <w:tcW w:w="1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质量安全生产体系</w:t>
            </w:r>
          </w:p>
        </w:tc>
        <w:tc>
          <w:tcPr>
            <w:tcW w:w="5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1.建设1座质量安全资料库；2.建设1项质量安全宣传与展示。</w:t>
            </w:r>
          </w:p>
        </w:tc>
        <w:tc>
          <w:tcPr>
            <w:tcW w:w="14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全县</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80</w:t>
            </w:r>
          </w:p>
        </w:tc>
      </w:tr>
      <w:tr>
        <w:tblPrEx>
          <w:tblCellMar>
            <w:top w:w="0" w:type="dxa"/>
            <w:left w:w="0" w:type="dxa"/>
            <w:bottom w:w="0" w:type="dxa"/>
            <w:right w:w="0" w:type="dxa"/>
          </w:tblCellMar>
        </w:tblPrEx>
        <w:trPr>
          <w:trHeight w:val="68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34</w:t>
            </w:r>
          </w:p>
        </w:tc>
        <w:tc>
          <w:tcPr>
            <w:tcW w:w="1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质量安全检验检测体系</w:t>
            </w:r>
          </w:p>
        </w:tc>
        <w:tc>
          <w:tcPr>
            <w:tcW w:w="5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1.建设500平方米检测实验室及配套设施；2.购置1批农药残留速测仪、电子天枰、全自动定氮仪、微型振荡器等检测仪器；3.建设1项检验检测与评估。</w:t>
            </w:r>
          </w:p>
        </w:tc>
        <w:tc>
          <w:tcPr>
            <w:tcW w:w="14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全县</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380</w:t>
            </w:r>
          </w:p>
        </w:tc>
      </w:tr>
      <w:tr>
        <w:tblPrEx>
          <w:tblCellMar>
            <w:top w:w="0" w:type="dxa"/>
            <w:left w:w="0" w:type="dxa"/>
            <w:bottom w:w="0" w:type="dxa"/>
            <w:right w:w="0" w:type="dxa"/>
          </w:tblCellMar>
        </w:tblPrEx>
        <w:trPr>
          <w:trHeight w:val="62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35</w:t>
            </w:r>
          </w:p>
        </w:tc>
        <w:tc>
          <w:tcPr>
            <w:tcW w:w="1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质量安全追溯体系</w:t>
            </w:r>
          </w:p>
        </w:tc>
        <w:tc>
          <w:tcPr>
            <w:tcW w:w="5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1.购置5套特色农产品二维码生成配套仪器；2.建设1座质量安全追溯体系档案库；3.进行1项质量安全登记、评比、咨询和公示等。</w:t>
            </w:r>
          </w:p>
        </w:tc>
        <w:tc>
          <w:tcPr>
            <w:tcW w:w="14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全县</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540</w:t>
            </w:r>
          </w:p>
        </w:tc>
      </w:tr>
      <w:tr>
        <w:tblPrEx>
          <w:tblCellMar>
            <w:top w:w="0" w:type="dxa"/>
            <w:left w:w="0" w:type="dxa"/>
            <w:bottom w:w="0" w:type="dxa"/>
            <w:right w:w="0" w:type="dxa"/>
          </w:tblCellMar>
        </w:tblPrEx>
        <w:trPr>
          <w:trHeight w:val="500" w:hRule="atLeast"/>
        </w:trPr>
        <w:tc>
          <w:tcPr>
            <w:tcW w:w="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36</w:t>
            </w:r>
          </w:p>
        </w:tc>
        <w:tc>
          <w:tcPr>
            <w:tcW w:w="1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质量安全信息服务体系</w:t>
            </w:r>
          </w:p>
        </w:tc>
        <w:tc>
          <w:tcPr>
            <w:tcW w:w="50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rPr>
                <w:sz w:val="21"/>
                <w:szCs w:val="21"/>
              </w:rPr>
            </w:pPr>
            <w:r>
              <w:rPr>
                <w:rFonts w:hint="eastAsia"/>
                <w:sz w:val="21"/>
                <w:szCs w:val="21"/>
              </w:rPr>
              <w:t>质量安全信息收集、宣传、培训。</w:t>
            </w:r>
          </w:p>
        </w:tc>
        <w:tc>
          <w:tcPr>
            <w:tcW w:w="14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全县</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sz w:val="21"/>
                <w:szCs w:val="21"/>
              </w:rPr>
            </w:pPr>
            <w:r>
              <w:rPr>
                <w:rFonts w:hint="eastAsia"/>
                <w:sz w:val="21"/>
                <w:szCs w:val="21"/>
              </w:rPr>
              <w:t>60</w:t>
            </w:r>
          </w:p>
        </w:tc>
      </w:tr>
      <w:tr>
        <w:tblPrEx>
          <w:tblCellMar>
            <w:top w:w="0" w:type="dxa"/>
            <w:left w:w="0" w:type="dxa"/>
            <w:bottom w:w="0" w:type="dxa"/>
            <w:right w:w="0" w:type="dxa"/>
          </w:tblCellMar>
        </w:tblPrEx>
        <w:trPr>
          <w:trHeight w:val="440" w:hRule="atLeast"/>
        </w:trPr>
        <w:tc>
          <w:tcPr>
            <w:tcW w:w="878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b/>
                <w:bCs/>
                <w:sz w:val="21"/>
                <w:szCs w:val="21"/>
              </w:rPr>
            </w:pPr>
            <w:r>
              <w:rPr>
                <w:rFonts w:hint="eastAsia"/>
                <w:b/>
                <w:bCs/>
                <w:sz w:val="21"/>
                <w:szCs w:val="21"/>
              </w:rPr>
              <w:t>小计</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
              <w:jc w:val="center"/>
              <w:rPr>
                <w:b/>
                <w:bCs/>
                <w:sz w:val="21"/>
                <w:szCs w:val="21"/>
              </w:rPr>
            </w:pPr>
            <w:r>
              <w:rPr>
                <w:rFonts w:hint="eastAsia"/>
                <w:b/>
                <w:bCs/>
                <w:sz w:val="21"/>
                <w:szCs w:val="21"/>
              </w:rPr>
              <w:t>1060</w:t>
            </w:r>
          </w:p>
        </w:tc>
      </w:tr>
      <w:tr>
        <w:tblPrEx>
          <w:tblCellMar>
            <w:top w:w="0" w:type="dxa"/>
            <w:left w:w="0" w:type="dxa"/>
            <w:bottom w:w="0" w:type="dxa"/>
            <w:right w:w="0" w:type="dxa"/>
          </w:tblCellMar>
        </w:tblPrEx>
        <w:trPr>
          <w:trHeight w:val="500" w:hRule="atLeast"/>
        </w:trPr>
        <w:tc>
          <w:tcPr>
            <w:tcW w:w="8784" w:type="dxa"/>
            <w:gridSpan w:val="4"/>
            <w:tcBorders>
              <w:top w:val="single" w:color="000000" w:sz="4" w:space="0"/>
              <w:left w:val="single" w:color="000000" w:sz="4" w:space="0"/>
              <w:bottom w:val="single" w:color="000000" w:sz="4" w:space="0"/>
              <w:right w:val="single" w:color="000000" w:sz="4" w:space="0"/>
            </w:tcBorders>
            <w:shd w:val="clear" w:color="auto" w:fill="FFD966"/>
            <w:tcMar>
              <w:top w:w="15" w:type="dxa"/>
              <w:left w:w="15" w:type="dxa"/>
              <w:right w:w="15" w:type="dxa"/>
            </w:tcMar>
            <w:vAlign w:val="center"/>
          </w:tcPr>
          <w:p>
            <w:pPr>
              <w:pStyle w:val="6"/>
              <w:jc w:val="center"/>
              <w:rPr>
                <w:b/>
                <w:bCs/>
                <w:sz w:val="21"/>
                <w:szCs w:val="21"/>
              </w:rPr>
            </w:pPr>
            <w:r>
              <w:rPr>
                <w:rFonts w:hint="eastAsia"/>
                <w:b/>
                <w:bCs/>
                <w:sz w:val="21"/>
                <w:szCs w:val="21"/>
              </w:rPr>
              <w:t>总计</w:t>
            </w:r>
          </w:p>
        </w:tc>
        <w:tc>
          <w:tcPr>
            <w:tcW w:w="1097" w:type="dxa"/>
            <w:tcBorders>
              <w:top w:val="single" w:color="000000" w:sz="4" w:space="0"/>
              <w:left w:val="single" w:color="000000" w:sz="4" w:space="0"/>
              <w:bottom w:val="single" w:color="000000" w:sz="4" w:space="0"/>
              <w:right w:val="single" w:color="000000" w:sz="4" w:space="0"/>
            </w:tcBorders>
            <w:shd w:val="clear" w:color="auto" w:fill="FFD966"/>
            <w:tcMar>
              <w:top w:w="15" w:type="dxa"/>
              <w:left w:w="15" w:type="dxa"/>
              <w:right w:w="15" w:type="dxa"/>
            </w:tcMar>
            <w:vAlign w:val="center"/>
          </w:tcPr>
          <w:p>
            <w:pPr>
              <w:pStyle w:val="6"/>
              <w:jc w:val="center"/>
              <w:rPr>
                <w:b/>
                <w:bCs/>
                <w:sz w:val="21"/>
                <w:szCs w:val="21"/>
              </w:rPr>
            </w:pPr>
            <w:r>
              <w:rPr>
                <w:rFonts w:hint="eastAsia"/>
                <w:b/>
                <w:bCs/>
                <w:sz w:val="21"/>
                <w:szCs w:val="21"/>
              </w:rPr>
              <w:t>95570</w:t>
            </w:r>
          </w:p>
        </w:tc>
      </w:tr>
    </w:tbl>
    <w:p>
      <w:pPr>
        <w:pStyle w:val="3"/>
        <w:ind w:firstLine="643"/>
      </w:pPr>
      <w:r>
        <w:fldChar w:fldCharType="begin"/>
      </w:r>
      <w:r>
        <w:instrText xml:space="preserve"> HYPERLINK \l "_Toc529132053" </w:instrText>
      </w:r>
      <w:r>
        <w:fldChar w:fldCharType="separate"/>
      </w:r>
      <w:bookmarkStart w:id="135" w:name="_Toc21594869"/>
      <w:r>
        <w:rPr>
          <w:rStyle w:val="20"/>
          <w:rFonts w:hint="eastAsia"/>
          <w:color w:val="auto"/>
          <w:u w:val="none"/>
        </w:rPr>
        <w:t>二、资金筹措</w:t>
      </w:r>
      <w:bookmarkEnd w:id="135"/>
      <w:r>
        <w:rPr>
          <w:rStyle w:val="20"/>
          <w:rFonts w:hint="eastAsia"/>
          <w:color w:val="auto"/>
          <w:u w:val="none"/>
        </w:rPr>
        <w:fldChar w:fldCharType="end"/>
      </w:r>
    </w:p>
    <w:p>
      <w:pPr>
        <w:ind w:firstLine="560"/>
        <w:rPr>
          <w:szCs w:val="28"/>
        </w:rPr>
      </w:pPr>
      <w:r>
        <w:rPr>
          <w:rFonts w:hint="eastAsia"/>
          <w:szCs w:val="28"/>
        </w:rPr>
        <w:t>特优区特色产业建设资金来源为企业自筹的，按照“谁投资，谁经营、谁受益”的原则，制定土地、税收、信贷等方面的优惠扶持政策，积极开展招商引资，鼓励各类投资主体，以独资、合资、承包、股份制、股份合作制等形式参与特色农产品优势区项目的开发和建设，协调农行、农村信用社等金融部门的信贷支持，探索以连片规模经营的土地为抵押的方式，安排一定的贷款额度支持产业龙头企业、合作社和农户发展特色农业生产，解决示范区融资困难问题，条件许可时可安排示范基地规模发展现代特色农业产业的贷款给予部分贴息。</w:t>
      </w:r>
    </w:p>
    <w:p>
      <w:pPr>
        <w:ind w:firstLine="560"/>
        <w:rPr>
          <w:szCs w:val="28"/>
        </w:rPr>
      </w:pPr>
      <w:r>
        <w:rPr>
          <w:rFonts w:hint="eastAsia"/>
          <w:szCs w:val="28"/>
        </w:rPr>
        <w:t>积极争取国家或自治区标准园建设专项资金投入主导产业绿色食品标准化基地建设、争取农产品质量安全监管专项资金投入特优区农产品质量安全追溯建设，整合其他各类涉农资金投入特优区基础设施建设。县财政年度预算安排一定比例的资金用于新建设施农业、加工厂房改造与建设、新技术推广应用、品牌建设等，逐步建立多层次、多渠道、多元化农业投资体系。</w:t>
      </w:r>
    </w:p>
    <w:p>
      <w:pPr>
        <w:ind w:firstLine="560"/>
        <w:rPr>
          <w:szCs w:val="28"/>
        </w:rPr>
      </w:pPr>
      <w:r>
        <w:rPr>
          <w:rFonts w:hint="eastAsia"/>
          <w:szCs w:val="28"/>
        </w:rPr>
        <w:t>围绕项目建设的需求，按照试点示范辐射带动的思路，本次规划总投资额95570万元，按照政府投资25%左右的平均水平，测算政府固定资产投资规模约23893万元；社会投资和引资规模约为71677万元。</w:t>
      </w:r>
    </w:p>
    <w:p>
      <w:pPr>
        <w:widowControl/>
        <w:ind w:firstLine="0" w:firstLineChars="0"/>
        <w:jc w:val="left"/>
        <w:rPr>
          <w:szCs w:val="28"/>
        </w:rPr>
      </w:pPr>
      <w:r>
        <w:rPr>
          <w:szCs w:val="28"/>
        </w:rPr>
        <w:br w:type="page"/>
      </w:r>
    </w:p>
    <w:p>
      <w:pPr>
        <w:pStyle w:val="2"/>
      </w:pPr>
      <w:r>
        <w:fldChar w:fldCharType="begin"/>
      </w:r>
      <w:r>
        <w:instrText xml:space="preserve"> HYPERLINK \l "_Toc529132054" </w:instrText>
      </w:r>
      <w:r>
        <w:fldChar w:fldCharType="separate"/>
      </w:r>
      <w:bookmarkStart w:id="136" w:name="_Toc21594870"/>
      <w:r>
        <w:rPr>
          <w:rFonts w:hint="eastAsia"/>
        </w:rPr>
        <w:t>第十章 保障措施</w:t>
      </w:r>
      <w:bookmarkEnd w:id="136"/>
      <w:r>
        <w:rPr>
          <w:rFonts w:hint="eastAsia"/>
        </w:rPr>
        <w:fldChar w:fldCharType="end"/>
      </w:r>
    </w:p>
    <w:p>
      <w:pPr>
        <w:pStyle w:val="3"/>
        <w:ind w:firstLine="643"/>
      </w:pPr>
      <w:bookmarkStart w:id="137" w:name="_Toc529131831"/>
      <w:bookmarkStart w:id="138" w:name="_Toc529132055"/>
      <w:bookmarkStart w:id="139" w:name="_Toc21594871"/>
      <w:r>
        <w:rPr>
          <w:rFonts w:hint="eastAsia"/>
        </w:rPr>
        <w:t>一、组织领导保障</w:t>
      </w:r>
      <w:bookmarkEnd w:id="137"/>
      <w:bookmarkEnd w:id="138"/>
      <w:bookmarkEnd w:id="139"/>
    </w:p>
    <w:p>
      <w:pPr>
        <w:spacing w:line="360" w:lineRule="auto"/>
        <w:ind w:firstLine="560"/>
        <w:rPr>
          <w:rFonts w:ascii="宋体" w:hAnsi="宋体" w:cs="宋体"/>
          <w:szCs w:val="28"/>
        </w:rPr>
      </w:pPr>
      <w:r>
        <w:rPr>
          <w:rFonts w:hint="eastAsia" w:ascii="宋体" w:hAnsi="宋体" w:cs="宋体"/>
          <w:szCs w:val="28"/>
        </w:rPr>
        <w:t>建立兴安县广西特色农产品优势区建设实施推进领导小组，负责现代农业建设发展的总体指导和协调。成立由县委县政府主要领导任组长、分管领导任副组长，农业农村、林业、水利、发改、财政、国土等相关部门负责人组成的创建工作领导小组，统筹沟通与协调，明确工作职责和任务分工，形成部门合力推动特优区建设工作落实；各部门将建设项目和资金向特优区建设工作倾斜，制定本部门具体工作实施方案，积极推动重大政策和重点项目的实施；制定年度建设工作方案，明确目标任务、重点工作措施，细化分解目标任务，强化责任落实。</w:t>
      </w:r>
    </w:p>
    <w:p>
      <w:pPr>
        <w:spacing w:line="360" w:lineRule="auto"/>
        <w:ind w:firstLine="560"/>
        <w:rPr>
          <w:rFonts w:ascii="宋体" w:hAnsi="宋体" w:cs="宋体"/>
          <w:szCs w:val="28"/>
        </w:rPr>
      </w:pPr>
    </w:p>
    <w:p>
      <w:pPr>
        <w:pStyle w:val="3"/>
        <w:ind w:firstLine="643"/>
      </w:pPr>
      <w:bookmarkStart w:id="140" w:name="_Toc529132056"/>
      <w:bookmarkStart w:id="141" w:name="_Toc529131832"/>
      <w:bookmarkStart w:id="142" w:name="_Toc21594872"/>
      <w:r>
        <w:rPr>
          <w:rFonts w:hint="eastAsia"/>
        </w:rPr>
        <w:t>二、政策配套保障</w:t>
      </w:r>
      <w:bookmarkEnd w:id="140"/>
      <w:bookmarkEnd w:id="141"/>
      <w:bookmarkEnd w:id="142"/>
    </w:p>
    <w:p>
      <w:pPr>
        <w:pStyle w:val="4"/>
        <w:spacing w:before="156" w:after="156"/>
        <w:ind w:firstLine="452"/>
      </w:pPr>
      <w:r>
        <w:rPr>
          <w:rFonts w:hint="eastAsia"/>
        </w:rPr>
        <w:t>（一）加大相关政策扶持力度</w:t>
      </w:r>
    </w:p>
    <w:p>
      <w:pPr>
        <w:spacing w:line="560" w:lineRule="exact"/>
        <w:ind w:firstLine="560"/>
        <w:rPr>
          <w:rFonts w:ascii="宋体" w:hAnsi="宋体" w:cs="宋体"/>
          <w:szCs w:val="28"/>
        </w:rPr>
      </w:pPr>
      <w:r>
        <w:rPr>
          <w:rFonts w:hint="eastAsia" w:ascii="宋体" w:hAnsi="宋体" w:cs="宋体"/>
          <w:szCs w:val="28"/>
        </w:rPr>
        <w:t>充分整合国家农业综合开发资金、现代农业生产发展资金、扶贫开发资金等涉农项目，将特优区建设作为重点内容给予支持；加快制定支持产业园建设工作的系列政策，从土地、财税、金融、保险、用地、技术、人才、信息等方面出台配套政策措施；兴安县已出台相关奖励政策促进产业发展，同时要进一步出台相关政策扶持产业发展，一是要争取特色农产品企业减免营业税政策，特色农产品优势区销售自产的初级农产品及初级加工品享受优惠政策，特色农产品优势区用电享受农业用电收费政策。二是结合实际，争取在土地使用税、排污费、垃圾处理费等方面出台优惠政策。三是加大对行业协会和中介服务机构的管理支持，引导特色农产品优势区建设有序发展和规范经营，为特色农产品优势区发展提供引导和保障。</w:t>
      </w:r>
    </w:p>
    <w:p>
      <w:pPr>
        <w:pStyle w:val="4"/>
        <w:spacing w:before="156" w:after="156"/>
        <w:ind w:firstLine="452"/>
      </w:pPr>
      <w:r>
        <w:rPr>
          <w:rFonts w:hint="eastAsia"/>
        </w:rPr>
        <w:t>（二）制定完善相关制度政策</w:t>
      </w:r>
    </w:p>
    <w:p>
      <w:pPr>
        <w:spacing w:line="360" w:lineRule="auto"/>
        <w:ind w:firstLine="560"/>
        <w:rPr>
          <w:rFonts w:ascii="宋体" w:hAnsi="宋体" w:cs="宋体"/>
          <w:szCs w:val="28"/>
        </w:rPr>
      </w:pPr>
      <w:r>
        <w:rPr>
          <w:rFonts w:hint="eastAsia" w:ascii="宋体" w:hAnsi="宋体" w:cs="宋体"/>
          <w:szCs w:val="28"/>
        </w:rPr>
        <w:t>充分整合国家农业综合开发资金、现代农业生产发展资金、扶贫开发资金等涉农项目，将特优区项目建设作为重点内容给予支持。在落实好《兴安县招商引资优惠暂行办法》的基础上，加快制定支持产业的系列政策，从土地、财税、金融、保险、用地、技术、人才、信息等方面出台配套政策措施。探索设立产业融合发展引导专项资金，重点支持农民、农民合作社开展农产品产地加工、产品直销和农家乐，支持农业产业化龙头企业与农户建立紧密的利益联结机制。落实现代农业用地政策，规范农用地管理，强化土地、资金、技术、信息和人才等生产要素向产业融合先导区倾斜对产业融合类项目给予支持。合理界定设施农业的用地范围和规模，引导设施农业项目合理选址。</w:t>
      </w:r>
    </w:p>
    <w:p>
      <w:pPr>
        <w:spacing w:line="360" w:lineRule="auto"/>
        <w:ind w:firstLine="560"/>
        <w:rPr>
          <w:rFonts w:ascii="宋体" w:hAnsi="宋体" w:cs="宋体"/>
          <w:szCs w:val="28"/>
        </w:rPr>
      </w:pPr>
      <w:r>
        <w:rPr>
          <w:rFonts w:hint="eastAsia" w:ascii="宋体" w:hAnsi="宋体" w:cs="宋体"/>
          <w:szCs w:val="28"/>
        </w:rPr>
        <w:t>一是制定兴安县广西特色农产品优势区建设发展规范标准，从资源、环境、市场、服务、交通、效益等多方面进行规范管理。二是建立合理的农业生产经营体制，依法管理和科学引导土地流转，引导发展农民合作经济组织，逐步实行专业化生产、企业化管理、社会化服务的农业生产经营体制。三是探索设立产业融合发展引导专。</w:t>
      </w:r>
    </w:p>
    <w:p>
      <w:pPr>
        <w:spacing w:line="360" w:lineRule="auto"/>
        <w:ind w:firstLine="560"/>
        <w:rPr>
          <w:rFonts w:ascii="宋体" w:hAnsi="宋体" w:cs="宋体"/>
          <w:szCs w:val="28"/>
        </w:rPr>
      </w:pPr>
    </w:p>
    <w:p>
      <w:pPr>
        <w:pStyle w:val="3"/>
        <w:ind w:firstLine="643"/>
      </w:pPr>
      <w:bookmarkStart w:id="143" w:name="_Toc529131833"/>
      <w:bookmarkStart w:id="144" w:name="_Toc21594873"/>
      <w:bookmarkStart w:id="145" w:name="_Toc529132057"/>
      <w:r>
        <w:rPr>
          <w:rFonts w:hint="eastAsia"/>
        </w:rPr>
        <w:t>三、科技创新保障</w:t>
      </w:r>
      <w:bookmarkEnd w:id="143"/>
      <w:bookmarkEnd w:id="144"/>
      <w:bookmarkEnd w:id="145"/>
    </w:p>
    <w:p>
      <w:pPr>
        <w:spacing w:line="360" w:lineRule="auto"/>
        <w:ind w:firstLine="560"/>
        <w:rPr>
          <w:rFonts w:ascii="宋体" w:hAnsi="宋体" w:cs="宋体"/>
        </w:rPr>
      </w:pPr>
      <w:r>
        <w:rPr>
          <w:rFonts w:hint="eastAsia" w:ascii="宋体" w:hAnsi="宋体" w:cs="宋体"/>
          <w:szCs w:val="28"/>
        </w:rPr>
        <w:t>牢牢把握国家新一轮科技革命和产业变革大趋势，大力推进科技进步和创新，建成有区域特色的产业产品新体系。加快传统农业产业转型升级，树立生态就是资源、是商品、是市场、是品牌的理念，转变传统的资源依赖型经济发展模式为资源保护和资源开发相结合的经济发展模式。通过抓生态建设，促进生态经济发展，提升生态产品的质量和效益，改善生态环境质量和生态功能，把生态优势转化为产业优势、经济优势、发展优势，全力推动农业生态产业链，着力打造生态品牌、有机绿色产品品牌，实现山区经济产业转型。突出抓好生态农业产业核心基地、示范园（区）、示范基地建设，提高科技含量和产品质量，抓好农副产品产业链伸延，研究开发新产品，推进产品增价增效，加快生态循环工业发展空间和发展步伐，打响地方绿色产品品牌和原生态地理标志品牌。</w:t>
      </w:r>
    </w:p>
    <w:p>
      <w:pPr>
        <w:pStyle w:val="4"/>
        <w:spacing w:before="156" w:after="156"/>
        <w:ind w:firstLine="452"/>
      </w:pPr>
      <w:r>
        <w:rPr>
          <w:rFonts w:hint="eastAsia"/>
        </w:rPr>
        <w:t>（一）加强与科研机构合作</w:t>
      </w:r>
    </w:p>
    <w:p>
      <w:pPr>
        <w:spacing w:line="360" w:lineRule="auto"/>
        <w:ind w:firstLine="560"/>
        <w:rPr>
          <w:rFonts w:ascii="宋体" w:hAnsi="宋体" w:cs="宋体"/>
          <w:szCs w:val="28"/>
        </w:rPr>
      </w:pPr>
      <w:r>
        <w:rPr>
          <w:rFonts w:hint="eastAsia" w:ascii="宋体" w:hAnsi="宋体" w:cs="宋体"/>
          <w:szCs w:val="28"/>
        </w:rPr>
        <w:t>加强资源整合和科学研究投入，有针对性地加强对拓展特色农产品优势区功能的研究、指导和服务。加强与自治区农科院、广西大学农学院、广东省农业科学院等科研院所的紧密合作，开展农产品初加工、精深加工、产品研发合作，推动产学研各主体之间的联系和互动，努力形成农业科研院所、高等院校、推广机构、服务机构、农业企业以及农户之间相互联动的科技网络。引导科研单位和科技人员通过技术承包、技术入股、技术转让、在岗创业、创办企业等形式参与产业融合发展经营项目；联合教育、科研等单位在现有特色农产品优势园区开展优势品种学科试验示范和选育，建设教育实习和科研基地，推广先进的高效栽培技术，增强产业发展的后劲。</w:t>
      </w:r>
    </w:p>
    <w:p>
      <w:pPr>
        <w:pStyle w:val="4"/>
        <w:spacing w:before="156" w:after="156"/>
        <w:ind w:firstLine="452"/>
      </w:pPr>
      <w:r>
        <w:rPr>
          <w:rFonts w:hint="eastAsia"/>
        </w:rPr>
        <w:t>（二）加大科技创新投入</w:t>
      </w:r>
    </w:p>
    <w:p>
      <w:pPr>
        <w:spacing w:line="360" w:lineRule="auto"/>
        <w:ind w:firstLine="560"/>
        <w:rPr>
          <w:rFonts w:ascii="宋体" w:hAnsi="宋体" w:cs="宋体"/>
          <w:szCs w:val="28"/>
        </w:rPr>
      </w:pPr>
      <w:r>
        <w:rPr>
          <w:rFonts w:hint="eastAsia" w:ascii="宋体" w:hAnsi="宋体" w:cs="宋体"/>
          <w:szCs w:val="28"/>
        </w:rPr>
        <w:t>结合优势条件，成立产业技术研究中心，积极与科研院所或者高等院校合作，逐步建立产业科研开发平台和成果转化机制，研制开发适应市场需求新品种、新技术和精深加工系列产品，提高农产品品质、档次和附加值，丰富产品的品种，增强产品的市场竞争力。同时，鼓励龙头企业内部建立研发中心，增强农业企业科技自主创新能力，加快产业的生产、加工、销售、储运技术和设备的引进、开发，形成完善的产业技术服务体系。</w:t>
      </w:r>
    </w:p>
    <w:p>
      <w:pPr>
        <w:spacing w:line="360" w:lineRule="auto"/>
        <w:ind w:firstLine="560"/>
        <w:rPr>
          <w:rFonts w:ascii="宋体" w:hAnsi="宋体" w:cs="宋体"/>
          <w:szCs w:val="28"/>
        </w:rPr>
      </w:pPr>
      <w:r>
        <w:rPr>
          <w:rFonts w:hint="eastAsia" w:ascii="宋体" w:hAnsi="宋体" w:cs="宋体"/>
          <w:szCs w:val="28"/>
        </w:rPr>
        <w:t>切实把创新贯穿于经济社会发展各个领域，大力推进制度创新、科技创新、文化创新，推动自主创新和协调创新，推动大众创业、万众创新，加快推动经济社会向依靠创新驱动转变，积极培育发展新动力、新业态，拓展空间和产业发展空间，构建发展新体制。</w:t>
      </w:r>
    </w:p>
    <w:p>
      <w:pPr>
        <w:spacing w:line="360" w:lineRule="auto"/>
        <w:ind w:firstLine="560"/>
        <w:rPr>
          <w:rFonts w:ascii="宋体" w:hAnsi="宋体" w:cs="宋体"/>
          <w:szCs w:val="28"/>
        </w:rPr>
      </w:pPr>
    </w:p>
    <w:p>
      <w:pPr>
        <w:pStyle w:val="3"/>
        <w:ind w:firstLine="643"/>
      </w:pPr>
      <w:bookmarkStart w:id="146" w:name="_Toc21594874"/>
      <w:bookmarkStart w:id="147" w:name="_Toc529132058"/>
      <w:bookmarkStart w:id="148" w:name="_Toc529131834"/>
      <w:r>
        <w:rPr>
          <w:rFonts w:hint="eastAsia"/>
        </w:rPr>
        <w:t>四、资金投融资保障</w:t>
      </w:r>
      <w:bookmarkEnd w:id="146"/>
      <w:bookmarkEnd w:id="147"/>
      <w:bookmarkEnd w:id="148"/>
    </w:p>
    <w:p>
      <w:pPr>
        <w:spacing w:line="360" w:lineRule="auto"/>
        <w:ind w:firstLine="560"/>
        <w:rPr>
          <w:rFonts w:ascii="宋体" w:hAnsi="宋体" w:cs="宋体"/>
          <w:szCs w:val="28"/>
        </w:rPr>
      </w:pPr>
      <w:r>
        <w:rPr>
          <w:rFonts w:hint="eastAsia" w:ascii="宋体" w:hAnsi="宋体" w:cs="宋体"/>
          <w:szCs w:val="28"/>
        </w:rPr>
        <w:t>习近平总书记在党的十九大报告中指出“要深化投融资体制改革，发挥投资对优化供给结构的关键性作用。深化金融体制改革，增强金融服务实体经济能力，提高直接融资比重，促进多层次资本市场健康发展。健全金融监管体系，守住不发生系统性金融风险的底线”为我们今后农村金融改革工作指出方向和目标。</w:t>
      </w:r>
    </w:p>
    <w:p>
      <w:pPr>
        <w:pStyle w:val="4"/>
        <w:spacing w:before="156" w:after="156"/>
        <w:ind w:firstLine="452"/>
        <w:rPr>
          <w:b w:val="0"/>
        </w:rPr>
      </w:pPr>
      <w:r>
        <w:rPr>
          <w:rFonts w:hint="eastAsia"/>
        </w:rPr>
        <w:t>（一）</w:t>
      </w:r>
      <w:r>
        <w:t>继续加大融资力度</w:t>
      </w:r>
    </w:p>
    <w:p>
      <w:pPr>
        <w:ind w:firstLine="560"/>
        <w:rPr>
          <w:rFonts w:ascii="仿宋" w:hAnsi="仿宋" w:cs="宋体"/>
        </w:rPr>
      </w:pPr>
      <w:r>
        <w:rPr>
          <w:rFonts w:hint="eastAsia" w:ascii="仿宋" w:hAnsi="仿宋" w:cs="宋体"/>
        </w:rPr>
        <w:t>首先，积极支持优质民营企业发债融资。支持信用优良、经营稳健、对产业结构转型升级或区域经济发展具有引领作用的优质民营企业，按照支持优质企业直接融资的相关政策申请发行企业债券。对于符合条件的优质民营企业，对债券资金用途实行正负面清单管理，鼓励将债券募集资金用于重点领域和重点项目。加强沟通协调，推动金融机构、银行机构、担保公司、小额贷款公司、各类保险公司加大对县域经济的资金支持，形成良好的融资环境。</w:t>
      </w:r>
    </w:p>
    <w:p>
      <w:pPr>
        <w:pStyle w:val="4"/>
        <w:spacing w:before="156" w:after="156"/>
        <w:ind w:firstLine="452"/>
      </w:pPr>
      <w:r>
        <w:rPr>
          <w:rFonts w:hint="eastAsia"/>
        </w:rPr>
        <w:t>（二）完善金融组织体系</w:t>
      </w:r>
    </w:p>
    <w:p>
      <w:pPr>
        <w:spacing w:line="360" w:lineRule="auto"/>
        <w:ind w:firstLine="560"/>
        <w:rPr>
          <w:rFonts w:ascii="宋体" w:hAnsi="宋体" w:cs="宋体"/>
          <w:szCs w:val="28"/>
        </w:rPr>
      </w:pPr>
      <w:r>
        <w:rPr>
          <w:rFonts w:hint="eastAsia" w:ascii="宋体" w:hAnsi="宋体" w:cs="宋体"/>
          <w:szCs w:val="28"/>
        </w:rPr>
        <w:t>坚持招商引资工作以政府为主导，社会各界力量共同参与多样化的招商主体，合理布局，建立科学有效的招商体系。加强招商引资工作的组织领导，完善机构设置、明确工作职责、落实招商主体，整合现有各部门的招商经费，发挥政府财政资金的导向作用。</w:t>
      </w:r>
    </w:p>
    <w:p>
      <w:pPr>
        <w:spacing w:line="360" w:lineRule="auto"/>
        <w:ind w:firstLine="560"/>
        <w:rPr>
          <w:rFonts w:ascii="宋体" w:hAnsi="宋体" w:cs="宋体"/>
          <w:szCs w:val="28"/>
        </w:rPr>
      </w:pPr>
      <w:r>
        <w:rPr>
          <w:rFonts w:hint="eastAsia" w:ascii="宋体" w:hAnsi="宋体" w:cs="宋体"/>
          <w:szCs w:val="28"/>
        </w:rPr>
        <w:t>加大招商引资力度，积极主动联系有实力和有资质的金融机构，独资或合资成立新的县域村镇银行、担保公司、小额信贷公司等等金融机构，不断满足本县群众日益增长的不同层次的金融服务需求。各金融机构银行业要主动作为，利用年底春节前的有利时机，强化宣传和推广，多做“雪中送炭”的好事和实事，为全县同步实现同步奔康提供资金保障。</w:t>
      </w:r>
    </w:p>
    <w:p>
      <w:pPr>
        <w:pStyle w:val="4"/>
        <w:spacing w:before="156" w:after="156"/>
        <w:ind w:firstLine="452"/>
      </w:pPr>
      <w:r>
        <w:rPr>
          <w:rFonts w:hint="eastAsia"/>
        </w:rPr>
        <w:t>（三）积极推进保险市场</w:t>
      </w:r>
    </w:p>
    <w:p>
      <w:pPr>
        <w:spacing w:line="360" w:lineRule="auto"/>
        <w:ind w:firstLine="560"/>
        <w:rPr>
          <w:rFonts w:ascii="宋体" w:hAnsi="宋体" w:cs="宋体"/>
          <w:szCs w:val="28"/>
        </w:rPr>
      </w:pPr>
      <w:r>
        <w:rPr>
          <w:rFonts w:hint="eastAsia" w:ascii="宋体" w:hAnsi="宋体" w:cs="宋体"/>
          <w:szCs w:val="28"/>
        </w:rPr>
        <w:t>扩大现有政策性农业保险险种覆盖面，完善地方特色农业保险发展政策，推动开办地方特色农业保险品种，扩大政策受益面；鼓励保险机构大力开发和创新各类产业发展保险品种，推进农村小额农业保险工作，为发展保驾护航。</w:t>
      </w:r>
    </w:p>
    <w:p>
      <w:pPr>
        <w:spacing w:line="360" w:lineRule="auto"/>
        <w:ind w:firstLine="560"/>
        <w:rPr>
          <w:rFonts w:ascii="宋体" w:hAnsi="宋体" w:cs="宋体"/>
          <w:szCs w:val="28"/>
        </w:rPr>
      </w:pPr>
      <w:r>
        <w:rPr>
          <w:rFonts w:hint="eastAsia" w:ascii="宋体" w:hAnsi="宋体" w:cs="宋体"/>
          <w:szCs w:val="28"/>
        </w:rPr>
        <w:t>总之，做好新形势下的兴安县特优区农产品</w:t>
      </w:r>
      <w:r>
        <w:rPr>
          <w:rFonts w:ascii="宋体" w:hAnsi="宋体" w:cs="宋体"/>
          <w:szCs w:val="28"/>
        </w:rPr>
        <w:t>保险</w:t>
      </w:r>
      <w:r>
        <w:rPr>
          <w:rFonts w:hint="eastAsia" w:ascii="宋体" w:hAnsi="宋体" w:cs="宋体"/>
          <w:szCs w:val="28"/>
        </w:rPr>
        <w:t>工作，事关产业的发展，我们要把握当前金融发展的有利时机，埋头苦干，狠抓落实，开创农产品</w:t>
      </w:r>
      <w:r>
        <w:rPr>
          <w:rFonts w:ascii="宋体" w:hAnsi="宋体" w:cs="宋体"/>
          <w:szCs w:val="28"/>
        </w:rPr>
        <w:t>保险</w:t>
      </w:r>
      <w:r>
        <w:rPr>
          <w:rFonts w:hint="eastAsia" w:ascii="宋体" w:hAnsi="宋体" w:cs="宋体"/>
          <w:szCs w:val="28"/>
        </w:rPr>
        <w:t>工作新局面，为打响名号做出更大贡献。</w:t>
      </w:r>
    </w:p>
    <w:p>
      <w:pPr>
        <w:spacing w:line="360" w:lineRule="auto"/>
        <w:ind w:firstLine="560"/>
        <w:rPr>
          <w:rFonts w:ascii="宋体" w:hAnsi="宋体" w:cs="宋体"/>
          <w:szCs w:val="28"/>
        </w:rPr>
      </w:pPr>
    </w:p>
    <w:p>
      <w:pPr>
        <w:pStyle w:val="3"/>
        <w:ind w:firstLine="643"/>
      </w:pPr>
      <w:bookmarkStart w:id="149" w:name="_Toc529131835"/>
      <w:bookmarkStart w:id="150" w:name="_Toc529132059"/>
      <w:bookmarkStart w:id="151" w:name="_Toc21594875"/>
      <w:r>
        <w:rPr>
          <w:rFonts w:hint="eastAsia"/>
        </w:rPr>
        <w:t>五、完善扶贫开发保障</w:t>
      </w:r>
      <w:bookmarkEnd w:id="149"/>
      <w:bookmarkEnd w:id="150"/>
      <w:bookmarkEnd w:id="151"/>
    </w:p>
    <w:p>
      <w:pPr>
        <w:pStyle w:val="4"/>
        <w:spacing w:before="156" w:after="156"/>
        <w:ind w:firstLine="452"/>
      </w:pPr>
      <w:r>
        <w:rPr>
          <w:rFonts w:hint="eastAsia"/>
        </w:rPr>
        <w:t>（一）建立扶贫管理机制</w:t>
      </w:r>
    </w:p>
    <w:p>
      <w:pPr>
        <w:spacing w:line="360" w:lineRule="auto"/>
        <w:ind w:firstLine="560"/>
        <w:rPr>
          <w:rFonts w:ascii="宋体" w:hAnsi="宋体" w:cs="宋体"/>
          <w:szCs w:val="28"/>
        </w:rPr>
      </w:pPr>
      <w:r>
        <w:rPr>
          <w:rFonts w:hint="eastAsia" w:ascii="宋体" w:hAnsi="宋体" w:cs="宋体"/>
          <w:szCs w:val="28"/>
        </w:rPr>
        <w:t>健全和加强扶贫开发领导小组，全面落实相关政策，履行扶贫职责，发挥扶贫项目经济社会效益；组建乡镇扶贫工作机构，配备专职人员，切实加强扶贫队伍建设；健全单位包村、干部包户帮扶机制；完善贫困村扶贫对象识别和建档立卡工作，加强扶贫对象分类扶持，整村推进，分户落实，精准扶贫；结合上级资金管理使用新机制，科学分配使用扶贫资金；创新扶贫考评新机制，落实考核激励机制和问责机制。</w:t>
      </w:r>
    </w:p>
    <w:p>
      <w:pPr>
        <w:pStyle w:val="4"/>
        <w:spacing w:before="156" w:after="156"/>
        <w:ind w:firstLine="452"/>
      </w:pPr>
      <w:r>
        <w:rPr>
          <w:rFonts w:hint="eastAsia"/>
        </w:rPr>
        <w:t>（二）创新扶贫投入机制</w:t>
      </w:r>
    </w:p>
    <w:p>
      <w:pPr>
        <w:spacing w:line="360" w:lineRule="auto"/>
        <w:ind w:firstLine="560"/>
        <w:rPr>
          <w:rFonts w:ascii="宋体" w:hAnsi="宋体" w:cs="宋体"/>
          <w:szCs w:val="28"/>
        </w:rPr>
      </w:pPr>
      <w:r>
        <w:rPr>
          <w:rFonts w:hint="eastAsia" w:ascii="宋体" w:hAnsi="宋体" w:cs="宋体"/>
          <w:szCs w:val="28"/>
        </w:rPr>
        <w:t>进一步加大扶贫资金投入，科学规划，整合资源，突出重点，创新模式，努力走出一条特困地区可持续发展的扶贫开发新路子。对在贫困地区开发水电资源占用集体土地的，试行给原住居民集体股权方式进行补偿，领导贫困户参与产业发展，探索对贫困人口实行资产收益扶持制度。</w:t>
      </w:r>
    </w:p>
    <w:p>
      <w:pPr>
        <w:spacing w:line="360" w:lineRule="auto"/>
        <w:ind w:firstLine="560"/>
        <w:rPr>
          <w:rFonts w:ascii="宋体" w:hAnsi="宋体" w:cs="宋体"/>
          <w:szCs w:val="28"/>
        </w:rPr>
      </w:pPr>
    </w:p>
    <w:p>
      <w:pPr>
        <w:pStyle w:val="3"/>
        <w:ind w:firstLine="643"/>
      </w:pPr>
      <w:bookmarkStart w:id="152" w:name="_Toc21594876"/>
      <w:bookmarkStart w:id="153" w:name="_Toc529131836"/>
      <w:bookmarkStart w:id="154" w:name="_Toc529132060"/>
      <w:r>
        <w:rPr>
          <w:rFonts w:hint="eastAsia"/>
        </w:rPr>
        <w:t>六、人才队伍保障</w:t>
      </w:r>
      <w:bookmarkEnd w:id="152"/>
      <w:bookmarkEnd w:id="153"/>
      <w:bookmarkEnd w:id="154"/>
    </w:p>
    <w:p>
      <w:pPr>
        <w:spacing w:line="360" w:lineRule="auto"/>
        <w:ind w:firstLine="560"/>
        <w:rPr>
          <w:rFonts w:ascii="宋体" w:hAnsi="宋体" w:cs="宋体"/>
          <w:szCs w:val="28"/>
        </w:rPr>
      </w:pPr>
      <w:r>
        <w:rPr>
          <w:rFonts w:hint="eastAsia" w:ascii="宋体" w:hAnsi="宋体" w:cs="宋体"/>
          <w:szCs w:val="28"/>
        </w:rPr>
        <w:t>依靠人才发展、科技创新加快经济社会发展，科技创新能力，是实现同步建成小康社会的根本保障，人才是科技创新的载体，必须坚持人才优先发展，把人才创业、科技创新作为推动经济社会转型跨越发展的根本举措，创新人才引进、培养和使用机制。</w:t>
      </w:r>
    </w:p>
    <w:p>
      <w:pPr>
        <w:pStyle w:val="4"/>
        <w:spacing w:before="156" w:after="156"/>
        <w:ind w:firstLine="452"/>
      </w:pPr>
      <w:r>
        <w:rPr>
          <w:rFonts w:hint="eastAsia"/>
        </w:rPr>
        <w:t>（一）实施人才培养引进工程</w:t>
      </w:r>
    </w:p>
    <w:p>
      <w:pPr>
        <w:spacing w:line="360" w:lineRule="auto"/>
        <w:ind w:firstLine="560"/>
        <w:rPr>
          <w:rFonts w:ascii="宋体" w:hAnsi="宋体" w:cs="宋体"/>
          <w:szCs w:val="28"/>
        </w:rPr>
      </w:pPr>
      <w:r>
        <w:rPr>
          <w:rFonts w:hint="eastAsia" w:ascii="宋体" w:hAnsi="宋体" w:cs="宋体"/>
          <w:szCs w:val="28"/>
        </w:rPr>
        <w:t>加强企业经营管理人才、创新创业人才、专业技术人才，农村实用人才队伍建设。以企业为主体、以产业为依托、以项目为载体，强化平台建设、政策支持和环境营造大力培养和引进人才，大力提升发展产业人才整体水平。正视地处边远、交通落后、经济相对落后的实际，不断加大人才工作投入力度，结合兴安县情，围绕经济社会发展需要，坚持重点引进、分类管理、合同约束、考核评估为基本原则，不断完善引进人才的激励机制，真正让优秀人才愿意来。</w:t>
      </w:r>
    </w:p>
    <w:p>
      <w:pPr>
        <w:pStyle w:val="4"/>
        <w:spacing w:before="156" w:after="156"/>
        <w:ind w:firstLine="452"/>
      </w:pPr>
      <w:r>
        <w:rPr>
          <w:rFonts w:hint="eastAsia"/>
        </w:rPr>
        <w:t>（二）创新人才培养机制</w:t>
      </w:r>
    </w:p>
    <w:p>
      <w:pPr>
        <w:spacing w:line="360" w:lineRule="auto"/>
        <w:ind w:firstLine="560"/>
        <w:rPr>
          <w:rFonts w:ascii="宋体" w:hAnsi="宋体" w:cs="宋体"/>
          <w:szCs w:val="28"/>
        </w:rPr>
      </w:pPr>
      <w:r>
        <w:rPr>
          <w:rFonts w:hint="eastAsia" w:ascii="宋体" w:hAnsi="宋体" w:cs="宋体"/>
          <w:szCs w:val="28"/>
        </w:rPr>
        <w:t>利用见习基地、实习锻炼、教育基地等，加强对人才的管理和培养。对优秀人才要制定具体的培养目标，跟踪管理，重点定向培养，真正让优秀人才得到锻炼。</w:t>
      </w:r>
    </w:p>
    <w:p>
      <w:pPr>
        <w:pStyle w:val="4"/>
        <w:spacing w:before="156" w:after="156"/>
        <w:ind w:firstLine="452"/>
      </w:pPr>
      <w:r>
        <w:rPr>
          <w:rFonts w:hint="eastAsia"/>
        </w:rPr>
        <w:t>（三）强化科技人才资源开发利用</w:t>
      </w:r>
    </w:p>
    <w:p>
      <w:pPr>
        <w:spacing w:line="360" w:lineRule="auto"/>
        <w:ind w:firstLine="560"/>
        <w:rPr>
          <w:rFonts w:ascii="宋体" w:hAnsi="宋体" w:cs="宋体"/>
          <w:szCs w:val="28"/>
        </w:rPr>
      </w:pPr>
      <w:r>
        <w:rPr>
          <w:rFonts w:hint="eastAsia" w:ascii="宋体" w:hAnsi="宋体" w:cs="宋体"/>
          <w:szCs w:val="28"/>
        </w:rPr>
        <w:t>加大对入驻兴安的科研院所的科研支持力度，通过项目引导和政策扶持，重点培养一批科研能力强、业务精湛的农业科研人才投入到兴安县特色农产业优势区建设项目中。实行人才引进激励机制，对农业科技人员在工资调整、福利待遇、职称评定等方面给予优待。加大对农民创业创新扶持力度，实施农民创业创新行动计划、农村青年创业富民行动、农民工等人员返乡创业行动计划，大力培养新型职业农民，着力培养一批专业生产大户和农民企业家，壮大农业经营管理人才队伍，为农产品加工业与产业融合发展提供人才保障。</w:t>
      </w:r>
    </w:p>
    <w:p>
      <w:pPr>
        <w:spacing w:line="360" w:lineRule="auto"/>
        <w:ind w:firstLine="560"/>
        <w:rPr>
          <w:rFonts w:ascii="宋体" w:hAnsi="宋体" w:cs="宋体"/>
          <w:szCs w:val="28"/>
        </w:rPr>
      </w:pPr>
    </w:p>
    <w:p>
      <w:pPr>
        <w:pStyle w:val="3"/>
        <w:ind w:firstLine="643"/>
      </w:pPr>
      <w:bookmarkStart w:id="155" w:name="_Toc529132061"/>
      <w:bookmarkStart w:id="156" w:name="_Toc529131837"/>
      <w:bookmarkStart w:id="157" w:name="_Toc21594877"/>
      <w:r>
        <w:rPr>
          <w:rFonts w:hint="eastAsia"/>
        </w:rPr>
        <w:t>七、土地利用保障</w:t>
      </w:r>
      <w:bookmarkEnd w:id="155"/>
      <w:bookmarkEnd w:id="156"/>
      <w:bookmarkEnd w:id="157"/>
    </w:p>
    <w:p>
      <w:pPr>
        <w:pStyle w:val="4"/>
        <w:spacing w:before="156" w:after="156"/>
        <w:ind w:firstLine="452"/>
        <w:rPr>
          <w:rFonts w:ascii="宋体" w:hAnsi="宋体" w:cs="宋体"/>
        </w:rPr>
      </w:pPr>
      <w:r>
        <w:rPr>
          <w:rStyle w:val="33"/>
          <w:rFonts w:hint="eastAsia"/>
          <w:b/>
          <w:bCs/>
        </w:rPr>
        <w:t>（一）加强基本农田保护工作</w:t>
      </w:r>
      <w:r>
        <w:rPr>
          <w:rFonts w:hint="eastAsia" w:ascii="宋体" w:hAnsi="宋体" w:cs="宋体"/>
        </w:rPr>
        <w:t xml:space="preserve"> </w:t>
      </w:r>
    </w:p>
    <w:p>
      <w:pPr>
        <w:spacing w:line="360" w:lineRule="auto"/>
        <w:ind w:firstLine="560"/>
        <w:rPr>
          <w:rFonts w:ascii="宋体" w:hAnsi="宋体" w:cs="宋体"/>
          <w:szCs w:val="28"/>
        </w:rPr>
      </w:pPr>
      <w:r>
        <w:rPr>
          <w:rFonts w:hint="eastAsia" w:ascii="宋体" w:hAnsi="宋体" w:cs="宋体"/>
          <w:szCs w:val="28"/>
        </w:rPr>
        <w:t xml:space="preserve">确保基本农田保护任务落实到田块和农户，明确土地承包户的基本农田保护义务，定期对基本农田保护标志牌进行维护更新，做到基本农田保护标志清楚、责任落实到位。 积极开展基本农田保护示范区建设，结合农业综合开发、农田水利建设等，集中各类建设专项资金，对耕作条件差、生态脆弱的耕地进行综合整治，采用多种手段改善耕地质量，为产业全面发展打下厚实的基础。 </w:t>
      </w:r>
    </w:p>
    <w:p>
      <w:pPr>
        <w:pStyle w:val="4"/>
        <w:spacing w:before="156" w:after="156"/>
        <w:ind w:firstLine="452"/>
      </w:pPr>
      <w:r>
        <w:rPr>
          <w:rFonts w:hint="eastAsia"/>
        </w:rPr>
        <w:t>（二）科学建设完善土地流转机制</w:t>
      </w:r>
    </w:p>
    <w:p>
      <w:pPr>
        <w:spacing w:line="360" w:lineRule="auto"/>
        <w:ind w:firstLine="560"/>
        <w:rPr>
          <w:rFonts w:ascii="宋体" w:hAnsi="宋体" w:cs="宋体"/>
          <w:szCs w:val="28"/>
        </w:rPr>
      </w:pPr>
      <w:r>
        <w:rPr>
          <w:rFonts w:hint="eastAsia" w:ascii="宋体" w:hAnsi="宋体" w:cs="宋体"/>
          <w:szCs w:val="28"/>
        </w:rPr>
        <w:t>第一，积极培育土地流转机制。提倡和允许在农民自愿的前提下，采用股份合作和出租经营等形式，进行多种形式的有偿转让。第二，要加强对土地流转的规范和管理，防止出现无序现象：一是要依法建立土地使用权转让的标准化合约，严格合同管理，维护双方权益；二是对土地资源使用权的招租要实行招、投标，必要时要经村民大会或村民代表同意，增强透明度，以防止暗箱操作，损害集体利益；三是对耕地使用权的转让要充分尊重农民的意愿，不能搞行政命令；四是要联合国土、规划、建设等相关部门，明确特色农产品优势区用地中建设用地占一定的比例，可根据建设用地面积的大小，严禁过度利用农业用地用于基本建设。</w:t>
      </w:r>
    </w:p>
    <w:p>
      <w:pPr>
        <w:pStyle w:val="4"/>
        <w:spacing w:before="156" w:after="156"/>
        <w:ind w:firstLine="452"/>
      </w:pPr>
      <w:r>
        <w:rPr>
          <w:rFonts w:hint="eastAsia"/>
        </w:rPr>
        <w:t>（三）提高土地管理的信息化水平</w:t>
      </w:r>
    </w:p>
    <w:p>
      <w:pPr>
        <w:spacing w:line="360" w:lineRule="auto"/>
        <w:ind w:firstLine="560"/>
        <w:rPr>
          <w:rFonts w:ascii="宋体" w:hAnsi="宋体" w:cs="宋体"/>
          <w:szCs w:val="28"/>
        </w:rPr>
      </w:pPr>
      <w:r>
        <w:rPr>
          <w:rFonts w:hint="eastAsia" w:ascii="宋体" w:hAnsi="宋体" w:cs="宋体"/>
          <w:szCs w:val="28"/>
        </w:rPr>
        <w:t>结合“金土工程”的建设，建立土地利用总体规划管理信息系统，统一用地审批、供应、使用、补充耕地各环节的信息平台，实现土地管理的一体化，确保信息现实性。完善土地利用动态监测制度、土地调查和土地统计制度，利用“3S”技术（即地理信息系统技术、遥感技术和全球卫星定位系统技术）及时掌握土地利用现状变化情况，为规划实施和监督提供有力的技术保障和依据。</w:t>
      </w:r>
    </w:p>
    <w:p>
      <w:pPr>
        <w:spacing w:line="360" w:lineRule="auto"/>
        <w:ind w:firstLine="560"/>
        <w:rPr>
          <w:rFonts w:ascii="宋体" w:hAnsi="宋体" w:cs="宋体"/>
          <w:szCs w:val="28"/>
        </w:rPr>
      </w:pPr>
    </w:p>
    <w:p>
      <w:pPr>
        <w:pStyle w:val="3"/>
        <w:ind w:firstLine="643"/>
      </w:pPr>
      <w:bookmarkStart w:id="158" w:name="_Toc21594878"/>
      <w:bookmarkStart w:id="159" w:name="_Toc529132062"/>
      <w:bookmarkStart w:id="160" w:name="_Toc529131838"/>
      <w:r>
        <w:rPr>
          <w:rFonts w:hint="eastAsia"/>
        </w:rPr>
        <w:t>八、区域合作保障</w:t>
      </w:r>
      <w:bookmarkEnd w:id="158"/>
      <w:bookmarkEnd w:id="159"/>
      <w:bookmarkEnd w:id="160"/>
    </w:p>
    <w:p>
      <w:pPr>
        <w:pStyle w:val="4"/>
        <w:spacing w:before="156" w:after="156"/>
        <w:ind w:firstLine="452"/>
      </w:pPr>
      <w:r>
        <w:rPr>
          <w:rFonts w:hint="eastAsia"/>
        </w:rPr>
        <w:t>（一）加强市内区域合作</w:t>
      </w:r>
    </w:p>
    <w:p>
      <w:pPr>
        <w:spacing w:line="360" w:lineRule="auto"/>
        <w:ind w:firstLine="560"/>
        <w:rPr>
          <w:rFonts w:ascii="宋体" w:hAnsi="宋体" w:cs="宋体"/>
          <w:szCs w:val="28"/>
        </w:rPr>
      </w:pPr>
      <w:r>
        <w:rPr>
          <w:rFonts w:hint="eastAsia" w:ascii="宋体" w:hAnsi="宋体" w:cs="宋体"/>
          <w:szCs w:val="28"/>
        </w:rPr>
        <w:t>向永福</w:t>
      </w:r>
      <w:r>
        <w:rPr>
          <w:rFonts w:ascii="宋体" w:hAnsi="宋体" w:cs="宋体"/>
          <w:szCs w:val="28"/>
        </w:rPr>
        <w:t>罗汉果、</w:t>
      </w:r>
      <w:r>
        <w:rPr>
          <w:rFonts w:hint="eastAsia" w:ascii="宋体" w:hAnsi="宋体" w:cs="宋体"/>
          <w:szCs w:val="28"/>
        </w:rPr>
        <w:t>田东芒果、</w:t>
      </w:r>
      <w:r>
        <w:rPr>
          <w:rFonts w:ascii="宋体" w:hAnsi="宋体" w:cs="宋体"/>
          <w:szCs w:val="28"/>
        </w:rPr>
        <w:t>隆安火龙果</w:t>
      </w:r>
      <w:r>
        <w:rPr>
          <w:rFonts w:hint="eastAsia" w:ascii="宋体" w:hAnsi="宋体" w:cs="宋体"/>
          <w:szCs w:val="28"/>
        </w:rPr>
        <w:t>、容县沙田柚等一大批名特优农产品成功案例学习，在邻近的市县开展种植业技术交流大会，互相学习借鉴，努力将打造不仅广西有一定的规模，在全国也有一定的知名度，深受广大消费者的喜爱品牌产品。</w:t>
      </w:r>
    </w:p>
    <w:p>
      <w:pPr>
        <w:pStyle w:val="4"/>
        <w:spacing w:before="156" w:after="156"/>
        <w:ind w:firstLine="452"/>
      </w:pPr>
      <w:r>
        <w:rPr>
          <w:rFonts w:hint="eastAsia"/>
        </w:rPr>
        <w:t>（二）加强区内合作</w:t>
      </w:r>
    </w:p>
    <w:p>
      <w:pPr>
        <w:spacing w:line="360" w:lineRule="auto"/>
        <w:ind w:firstLine="560"/>
        <w:rPr>
          <w:rFonts w:ascii="宋体" w:hAnsi="宋体" w:cs="宋体"/>
          <w:szCs w:val="28"/>
        </w:rPr>
      </w:pPr>
      <w:r>
        <w:rPr>
          <w:rFonts w:hint="eastAsia" w:ascii="宋体" w:hAnsi="宋体" w:cs="宋体"/>
          <w:szCs w:val="28"/>
        </w:rPr>
        <w:t>积极主动增强同其他特色农产品优势建设示范区、周边市的合作，打破地域壁垒，打造无障碍区域，推进兴安县与其他区域重点农业示范区进行有机串联，形成区内的精品特色农产品百花齐放共赢发展的和谐发展局面。</w:t>
      </w:r>
    </w:p>
    <w:p>
      <w:pPr>
        <w:pStyle w:val="4"/>
        <w:spacing w:before="156" w:after="156"/>
        <w:ind w:firstLine="452"/>
      </w:pPr>
      <w:r>
        <w:rPr>
          <w:rFonts w:hint="eastAsia"/>
        </w:rPr>
        <w:t>（三）加强跨省跨区域合作</w:t>
      </w:r>
    </w:p>
    <w:p>
      <w:pPr>
        <w:spacing w:line="360" w:lineRule="auto"/>
        <w:ind w:firstLine="560"/>
        <w:rPr>
          <w:rFonts w:ascii="宋体" w:hAnsi="宋体" w:cs="宋体"/>
          <w:szCs w:val="28"/>
        </w:rPr>
      </w:pPr>
      <w:r>
        <w:rPr>
          <w:rFonts w:hint="eastAsia" w:ascii="宋体" w:hAnsi="宋体" w:cs="宋体"/>
          <w:szCs w:val="28"/>
        </w:rPr>
        <w:t>培养一批技术交流专员，参加省、国之间的养殖、贸易交流大会，积极与国内各省市中发展出色的种殖典范进行技术、经验交流，加强与越南、泰国以及东南亚各个邻近国家和地区之间的贸易合作和技术交流。通过各种大型农产品展示会合作，推动广西特色农产品优势区建设发展，打造一批又一批地方特色农产品品牌企业，促进地方经济，农业等各方面发展。</w:t>
      </w:r>
    </w:p>
    <w:p>
      <w:pPr>
        <w:spacing w:line="360" w:lineRule="auto"/>
        <w:ind w:firstLine="560"/>
        <w:rPr>
          <w:rFonts w:ascii="宋体" w:hAnsi="宋体" w:cs="宋体"/>
          <w:szCs w:val="28"/>
        </w:rPr>
      </w:pPr>
    </w:p>
    <w:p>
      <w:pPr>
        <w:spacing w:line="360" w:lineRule="auto"/>
        <w:ind w:firstLine="560"/>
        <w:rPr>
          <w:rFonts w:ascii="宋体" w:hAnsi="宋体" w:cs="宋体"/>
          <w:szCs w:val="28"/>
        </w:rPr>
      </w:pPr>
    </w:p>
    <w:p>
      <w:pPr>
        <w:pStyle w:val="3"/>
        <w:ind w:firstLine="643"/>
      </w:pPr>
      <w:bookmarkStart w:id="161" w:name="_Toc21594879"/>
      <w:bookmarkStart w:id="162" w:name="_Toc529132063"/>
      <w:bookmarkStart w:id="163" w:name="_Toc529131839"/>
      <w:r>
        <w:rPr>
          <w:rFonts w:hint="eastAsia"/>
        </w:rPr>
        <w:t>九、实施监督保障</w:t>
      </w:r>
      <w:bookmarkEnd w:id="161"/>
      <w:bookmarkEnd w:id="162"/>
      <w:bookmarkEnd w:id="163"/>
    </w:p>
    <w:p>
      <w:pPr>
        <w:pStyle w:val="4"/>
        <w:spacing w:before="156" w:after="156"/>
        <w:ind w:firstLine="452"/>
      </w:pPr>
      <w:r>
        <w:rPr>
          <w:rFonts w:hint="eastAsia"/>
        </w:rPr>
        <w:t>（一）建立规划实施责任制</w:t>
      </w:r>
    </w:p>
    <w:p>
      <w:pPr>
        <w:spacing w:line="360" w:lineRule="auto"/>
        <w:ind w:firstLine="560"/>
        <w:rPr>
          <w:rFonts w:ascii="宋体" w:hAnsi="宋体" w:cs="宋体"/>
          <w:szCs w:val="28"/>
        </w:rPr>
      </w:pPr>
      <w:r>
        <w:rPr>
          <w:rFonts w:hint="eastAsia" w:ascii="宋体" w:hAnsi="宋体" w:cs="宋体"/>
          <w:szCs w:val="28"/>
        </w:rPr>
        <w:t>本规划经县级以上会议批准后，要及时制定具体实施方案，把各项规划任务分解落实到各级各部门。制度年度工作计划要以本规划为依据，充分体现本规划提出的发展目标和重点任务。</w:t>
      </w:r>
    </w:p>
    <w:p>
      <w:pPr>
        <w:pStyle w:val="4"/>
        <w:spacing w:before="156" w:after="156"/>
        <w:ind w:firstLine="452"/>
      </w:pPr>
      <w:r>
        <w:rPr>
          <w:rFonts w:hint="eastAsia"/>
        </w:rPr>
        <w:t>（二）建立规划实施绩效考评机制</w:t>
      </w:r>
    </w:p>
    <w:p>
      <w:pPr>
        <w:spacing w:line="360" w:lineRule="auto"/>
        <w:ind w:firstLine="560"/>
        <w:rPr>
          <w:rFonts w:ascii="宋体" w:hAnsi="宋体" w:cs="宋体"/>
          <w:szCs w:val="28"/>
        </w:rPr>
      </w:pPr>
      <w:r>
        <w:rPr>
          <w:rFonts w:hint="eastAsia" w:ascii="宋体" w:hAnsi="宋体" w:cs="宋体"/>
          <w:szCs w:val="28"/>
        </w:rPr>
        <w:t>完善绩效评价考核体系，制定有利于规划实施的绩效评价考核体系，强化对结构优化、民生改善、资源节约、环境保护和产业建设目标等目标任务考核，加快促进产业的快速发展。</w:t>
      </w:r>
    </w:p>
    <w:p>
      <w:pPr>
        <w:pStyle w:val="4"/>
        <w:spacing w:before="156" w:after="156"/>
        <w:ind w:firstLine="452"/>
      </w:pPr>
      <w:r>
        <w:rPr>
          <w:rFonts w:hint="eastAsia"/>
        </w:rPr>
        <w:t>（三）全力推进重点和重大工程项目实施</w:t>
      </w:r>
    </w:p>
    <w:p>
      <w:pPr>
        <w:spacing w:line="360" w:lineRule="auto"/>
        <w:ind w:firstLine="560"/>
        <w:rPr>
          <w:rFonts w:ascii="宋体" w:hAnsi="宋体" w:cs="宋体"/>
          <w:szCs w:val="28"/>
        </w:rPr>
      </w:pPr>
      <w:r>
        <w:rPr>
          <w:rFonts w:hint="eastAsia" w:ascii="宋体" w:hAnsi="宋体" w:cs="宋体"/>
          <w:szCs w:val="28"/>
        </w:rPr>
        <w:t>本规划提出的战略部署和重大工程项目建设，是实现规划蓝图的重要保障，必须协调各方力量，全力推进实施。深入研究实现规划目标的途径，制定周密的实施方案。深入实施重大项目带动战略，对列入本规划的重大工程项目，在核准审批、建设用地、资金筹措等方面给予优先支持；建立重大项目库，完善重大项目管理机制，强化责任落实，推动项目开竣工，保持重大项目开工、续建、投产、储备的有机衔接，实现重大项目建设持续推进，增强发展支撑能力。</w:t>
      </w:r>
    </w:p>
    <w:sectPr>
      <w:footerReference r:id="rId17" w:type="default"/>
      <w:pgSz w:w="23814" w:h="16840" w:orient="landscape"/>
      <w:pgMar w:top="1440" w:right="1588" w:bottom="1440" w:left="1588" w:header="851" w:footer="992" w:gutter="0"/>
      <w:pgNumType w:start="1"/>
      <w:cols w:space="1401" w:num="2"/>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560"/>
      </w:pPr>
      <w:r>
        <w:separator/>
      </w:r>
    </w:p>
  </w:endnote>
  <w:endnote w:type="continuationSeparator" w:id="1">
    <w:p>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幼圆">
    <w:altName w:val="宋体"/>
    <w:panose1 w:val="0201050906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jc w:val="center"/>
    </w:pPr>
  </w:p>
  <w:p>
    <w:pPr>
      <w:pStyle w:val="8"/>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jc w:val="center"/>
    </w:pPr>
  </w:p>
  <w:p>
    <w:pPr>
      <w:pStyle w:val="8"/>
      <w:ind w:firstLine="360"/>
    </w:pPr>
    <w:r>
      <mc:AlternateContent>
        <mc:Choice Requires="wps">
          <w:drawing>
            <wp:anchor distT="0" distB="0" distL="114300" distR="114300" simplePos="0" relativeHeight="251660288" behindDoc="0" locked="0" layoutInCell="1" allowOverlap="1">
              <wp:simplePos x="0" y="0"/>
              <wp:positionH relativeFrom="margin">
                <wp:posOffset>13207365</wp:posOffset>
              </wp:positionH>
              <wp:positionV relativeFrom="paragraph">
                <wp:posOffset>452120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877967512"/>
                          </w:sdtPr>
                          <w:sdtContent>
                            <w:p>
                              <w:pPr>
                                <w:pStyle w:val="8"/>
                                <w:ind w:firstLine="360"/>
                                <w:jc w:val="center"/>
                              </w:pPr>
                              <w:r>
                                <w:fldChar w:fldCharType="begin"/>
                              </w:r>
                              <w:r>
                                <w:instrText xml:space="preserve">PAGE   \* MERGEFORMAT</w:instrText>
                              </w:r>
                              <w:r>
                                <w:fldChar w:fldCharType="separate"/>
                              </w:r>
                              <w:r>
                                <w:rPr>
                                  <w:lang w:val="zh-CN"/>
                                </w:rPr>
                                <w:t>30</w:t>
                              </w:r>
                              <w:r>
                                <w:fldChar w:fldCharType="end"/>
                              </w:r>
                            </w:p>
                          </w:sdtContent>
                        </w:sdt>
                        <w:p>
                          <w:pPr>
                            <w:ind w:firstLine="5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039.95pt;margin-top:35.6pt;height:144pt;width:144pt;mso-position-horizontal-relative:margin;mso-wrap-style:none;z-index:251660288;mso-width-relative:page;mso-height-relative:page;" filled="f" stroked="f" coordsize="21600,21600" o:gfxdata="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YhU9dkAAAAMAQAADwAAAAAAAAABACAAAAAiAAAAZHJzL2Rvd25yZXYueG1sUEsB&#10;AhQAFAAAAAgAh07iQI4AZkgtAgAAVwQAAA4AAAAAAAAAAQAgAAAAKAEAAGRycy9lMm9Eb2MueG1s&#10;UEsFBgAAAAAGAAYAWQEAAMcFAAAAAA==&#10;">
              <v:fill on="f" focussize="0,0"/>
              <v:stroke on="f" weight="0.5pt"/>
              <v:imagedata o:title=""/>
              <o:lock v:ext="edit" aspectratio="f"/>
              <v:textbox inset="0mm,0mm,0mm,0mm" style="mso-fit-shape-to-text:t;">
                <w:txbxContent>
                  <w:sdt>
                    <w:sdtPr>
                      <w:id w:val="877967512"/>
                    </w:sdtPr>
                    <w:sdtContent>
                      <w:p>
                        <w:pPr>
                          <w:pStyle w:val="8"/>
                          <w:ind w:firstLine="360"/>
                          <w:jc w:val="center"/>
                        </w:pPr>
                        <w:r>
                          <w:fldChar w:fldCharType="begin"/>
                        </w:r>
                        <w:r>
                          <w:instrText xml:space="preserve">PAGE   \* MERGEFORMAT</w:instrText>
                        </w:r>
                        <w:r>
                          <w:fldChar w:fldCharType="separate"/>
                        </w:r>
                        <w:r>
                          <w:rPr>
                            <w:lang w:val="zh-CN"/>
                          </w:rPr>
                          <w:t>30</w:t>
                        </w:r>
                        <w:r>
                          <w:fldChar w:fldCharType="end"/>
                        </w:r>
                      </w:p>
                    </w:sdtContent>
                  </w:sdt>
                  <w:p>
                    <w:pPr>
                      <w:ind w:firstLine="560"/>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jc w:val="center"/>
    </w:pPr>
    <w: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ind w:firstLine="360"/>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WYmoEtAgAAV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WYmoEtAgAAVwQAAA4AAAAAAAAAAQAgAAAAHwEAAGRycy9lMm9Eb2MueG1sUEsFBgAAAAAG&#10;AAYAWQEAAL4FAAAAAA==&#10;">
              <v:fill on="f" focussize="0,0"/>
              <v:stroke on="f" weight="0.5pt"/>
              <v:imagedata o:title=""/>
              <o:lock v:ext="edit" aspectratio="f"/>
              <v:textbox inset="0mm,0mm,0mm,0mm" style="mso-fit-shape-to-text:t;">
                <w:txbxContent>
                  <w:p>
                    <w:pPr>
                      <w:pStyle w:val="8"/>
                      <w:ind w:firstLine="360"/>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p>
    <w:pPr>
      <w:pStyle w:val="8"/>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jc w:val="center"/>
    </w:pPr>
  </w:p>
  <w:p>
    <w:pPr>
      <w:pStyle w:val="8"/>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jc w:val="center"/>
    </w:pPr>
  </w:p>
  <w:p>
    <w:pPr>
      <w:pStyle w:val="8"/>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jc w:val="center"/>
    </w:pPr>
    <w: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I</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UCbQ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dUCbQtAgAAVwQAAA4AAAAAAAAAAQAgAAAAHwEAAGRycy9lMm9Eb2MueG1sUEsFBgAAAAAG&#10;AAYAWQEAAL4FAAAAAA==&#10;">
              <v:fill on="f" focussize="0,0"/>
              <v:stroke on="f" weight="0.5pt"/>
              <v:imagedata o:title=""/>
              <o:lock v:ext="edit" aspectratio="f"/>
              <v:textbox inset="0mm,0mm,0mm,0mm" style="mso-fit-shape-to-text:t;">
                <w:txbxContent>
                  <w:p>
                    <w:pPr>
                      <w:pStyle w:val="8"/>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I</w:t>
                    </w:r>
                    <w:r>
                      <w:rPr>
                        <w:rFonts w:hint="eastAsia"/>
                      </w:rPr>
                      <w:fldChar w:fldCharType="end"/>
                    </w:r>
                  </w:p>
                </w:txbxContent>
              </v:textbox>
            </v:shape>
          </w:pict>
        </mc:Fallback>
      </mc:AlternateContent>
    </w:r>
  </w:p>
  <w:p>
    <w:pPr>
      <w:pStyle w:val="8"/>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jc w:val="center"/>
    </w:pPr>
  </w:p>
  <w:p>
    <w:pPr>
      <w:pStyle w:val="8"/>
      <w:ind w:firstLine="360"/>
    </w:pPr>
    <w:r>
      <mc:AlternateContent>
        <mc:Choice Requires="wps">
          <w:drawing>
            <wp:anchor distT="0" distB="0" distL="114300" distR="114300" simplePos="0" relativeHeight="251664384" behindDoc="0" locked="0" layoutInCell="1" allowOverlap="1">
              <wp:simplePos x="0" y="0"/>
              <wp:positionH relativeFrom="margin">
                <wp:posOffset>13303250</wp:posOffset>
              </wp:positionH>
              <wp:positionV relativeFrom="paragraph">
                <wp:posOffset>485140</wp:posOffset>
              </wp:positionV>
              <wp:extent cx="1828800" cy="1828800"/>
              <wp:effectExtent l="0" t="0" r="2540" b="635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ind w:firstLine="360"/>
                          </w:pPr>
                          <w:r>
                            <w:rPr>
                              <w:rFonts w:hint="eastAsia"/>
                            </w:rPr>
                            <w:fldChar w:fldCharType="begin"/>
                          </w:r>
                          <w:r>
                            <w:rPr>
                              <w:rFonts w:hint="eastAsia"/>
                            </w:rPr>
                            <w:instrText xml:space="preserve"> PAGE  \* MERGEFORMAT </w:instrText>
                          </w:r>
                          <w:r>
                            <w:rPr>
                              <w:rFonts w:hint="eastAsia"/>
                            </w:rPr>
                            <w:fldChar w:fldCharType="separate"/>
                          </w:r>
                          <w:r>
                            <w:t>I</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047.5pt;margin-top:38.2pt;height:144pt;width:144pt;mso-position-horizontal-relative:margin;mso-wrap-style:none;z-index:251664384;mso-width-relative:page;mso-height-relative:page;" filled="f" stroked="f" coordsize="21600,21600" o:gfxdata="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ItG+naAAAADAEAAA8AAAAAAAAAAQAgAAAAIgAAAGRycy9kb3ducmV2LnhtbFBL&#10;AQIUABQAAAAIAIdO4kA/GVr0LQIAAFcEAAAOAAAAAAAAAAEAIAAAACkBAABkcnMvZTJvRG9jLnht&#10;bFBLBQYAAAAABgAGAFkBAADIBQAAAAA=&#10;">
              <v:fill on="f" focussize="0,0"/>
              <v:stroke on="f" weight="0.5pt"/>
              <v:imagedata o:title=""/>
              <o:lock v:ext="edit" aspectratio="f"/>
              <v:textbox inset="0mm,0mm,0mm,0mm" style="mso-fit-shape-to-text:t;">
                <w:txbxContent>
                  <w:p>
                    <w:pPr>
                      <w:pStyle w:val="8"/>
                      <w:ind w:firstLine="360"/>
                    </w:pPr>
                    <w:r>
                      <w:rPr>
                        <w:rFonts w:hint="eastAsia"/>
                      </w:rPr>
                      <w:fldChar w:fldCharType="begin"/>
                    </w:r>
                    <w:r>
                      <w:rPr>
                        <w:rFonts w:hint="eastAsia"/>
                      </w:rPr>
                      <w:instrText xml:space="preserve"> PAGE  \* MERGEFORMAT </w:instrText>
                    </w:r>
                    <w:r>
                      <w:rPr>
                        <w:rFonts w:hint="eastAsia"/>
                      </w:rPr>
                      <w:fldChar w:fldCharType="separate"/>
                    </w:r>
                    <w:r>
                      <w:t>I</w:t>
                    </w:r>
                    <w:r>
                      <w:rPr>
                        <w:rFonts w:hint="eastAsi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jc w:val="center"/>
    </w:pPr>
  </w:p>
  <w:p>
    <w:pPr>
      <w:pStyle w:val="8"/>
      <w:ind w:firstLine="360"/>
    </w:pPr>
    <w:r>
      <mc:AlternateContent>
        <mc:Choice Requires="wps">
          <w:drawing>
            <wp:anchor distT="0" distB="0" distL="114300" distR="114300" simplePos="0" relativeHeight="251665408" behindDoc="0" locked="0" layoutInCell="1" allowOverlap="1">
              <wp:simplePos x="0" y="0"/>
              <wp:positionH relativeFrom="margin">
                <wp:posOffset>13301980</wp:posOffset>
              </wp:positionH>
              <wp:positionV relativeFrom="paragraph">
                <wp:posOffset>485775</wp:posOffset>
              </wp:positionV>
              <wp:extent cx="1828800" cy="283845"/>
              <wp:effectExtent l="0" t="0" r="12065" b="1905"/>
              <wp:wrapNone/>
              <wp:docPr id="23" name="文本框 23"/>
              <wp:cNvGraphicFramePr/>
              <a:graphic xmlns:a="http://schemas.openxmlformats.org/drawingml/2006/main">
                <a:graphicData uri="http://schemas.microsoft.com/office/word/2010/wordprocessingShape">
                  <wps:wsp>
                    <wps:cNvSpPr txBox="1"/>
                    <wps:spPr>
                      <a:xfrm>
                        <a:off x="0" y="0"/>
                        <a:ext cx="1828800" cy="283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ind w:firstLine="360"/>
                          </w:pPr>
                          <w:r>
                            <w:rPr>
                              <w:rFonts w:hint="eastAsia"/>
                            </w:rPr>
                            <w:fldChar w:fldCharType="begin"/>
                          </w:r>
                          <w:r>
                            <w:rPr>
                              <w:rFonts w:hint="eastAsia"/>
                            </w:rPr>
                            <w:instrText xml:space="preserve"> PAGE  \* MERGEFORMAT </w:instrText>
                          </w:r>
                          <w:r>
                            <w:rPr>
                              <w:rFonts w:hint="eastAsia"/>
                            </w:rPr>
                            <w:fldChar w:fldCharType="separate"/>
                          </w:r>
                          <w:r>
                            <w:t>II</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047.4pt;margin-top:38.25pt;height:22.35pt;width:144pt;mso-position-horizontal-relative:margin;mso-wrap-style:none;z-index:251665408;mso-width-relative:page;mso-height-relative:page;" filled="f" stroked="f" coordsize="21600,21600" o:gfxdata="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vrgsR2gAAAAwBAAAPAAAAAAAAAAEAIAAAACIAAABkcnMvZG93bnJldi54&#10;bWxQSwECFAAUAAAACACHTuJAqg/VGDECAABWBAAADgAAAAAAAAABACAAAAApAQAAZHJzL2Uyb0Rv&#10;Yy54bWxQSwUGAAAAAAYABgBZAQAAzAUAAAAA&#10;">
              <v:fill on="f" focussize="0,0"/>
              <v:stroke on="f" weight="0.5pt"/>
              <v:imagedata o:title=""/>
              <o:lock v:ext="edit" aspectratio="f"/>
              <v:textbox inset="0mm,0mm,0mm,0mm">
                <w:txbxContent>
                  <w:p>
                    <w:pPr>
                      <w:pStyle w:val="8"/>
                      <w:ind w:firstLine="360"/>
                    </w:pPr>
                    <w:r>
                      <w:rPr>
                        <w:rFonts w:hint="eastAsia"/>
                      </w:rPr>
                      <w:fldChar w:fldCharType="begin"/>
                    </w:r>
                    <w:r>
                      <w:rPr>
                        <w:rFonts w:hint="eastAsia"/>
                      </w:rPr>
                      <w:instrText xml:space="preserve"> PAGE  \* MERGEFORMAT </w:instrText>
                    </w:r>
                    <w:r>
                      <w:rPr>
                        <w:rFonts w:hint="eastAsia"/>
                      </w:rPr>
                      <w:fldChar w:fldCharType="separate"/>
                    </w:r>
                    <w:r>
                      <w:t>II</w:t>
                    </w:r>
                    <w:r>
                      <w:rPr>
                        <w:rFonts w:hint="eastAsia"/>
                      </w:rP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497205</wp:posOffset>
              </wp:positionV>
              <wp:extent cx="1828800" cy="352425"/>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3524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14:textFill>
                                <w14:solidFill>
                                  <w14:schemeClr w14:val="bg1"/>
                                </w14:solidFill>
                              </w14:textFill>
                            </w:rPr>
                            <w:id w:val="-832214856"/>
                          </w:sdtPr>
                          <w:sdtEndPr>
                            <w:rPr>
                              <w:color w:val="auto"/>
                            </w:rPr>
                          </w:sdtEndPr>
                          <w:sdtContent>
                            <w:p>
                              <w:pPr>
                                <w:pStyle w:val="8"/>
                                <w:ind w:firstLine="360"/>
                                <w:jc w:val="center"/>
                              </w:pPr>
                              <w:r>
                                <w:rPr>
                                  <w:color w:val="FFFFFF" w:themeColor="background1"/>
                                  <w14:textFill>
                                    <w14:solidFill>
                                      <w14:schemeClr w14:val="bg1"/>
                                    </w14:solidFill>
                                  </w14:textFill>
                                </w:rPr>
                                <w:fldChar w:fldCharType="begin"/>
                              </w:r>
                              <w:r>
                                <w:rPr>
                                  <w:color w:val="FFFFFF" w:themeColor="background1"/>
                                  <w14:textFill>
                                    <w14:solidFill>
                                      <w14:schemeClr w14:val="bg1"/>
                                    </w14:solidFill>
                                  </w14:textFill>
                                </w:rPr>
                                <w:instrText xml:space="preserve">PAGE   \* MERGEFORMAT</w:instrText>
                              </w:r>
                              <w:r>
                                <w:rPr>
                                  <w:color w:val="FFFFFF" w:themeColor="background1"/>
                                  <w14:textFill>
                                    <w14:solidFill>
                                      <w14:schemeClr w14:val="bg1"/>
                                    </w14:solidFill>
                                  </w14:textFill>
                                </w:rPr>
                                <w:fldChar w:fldCharType="separate"/>
                              </w:r>
                              <w:r>
                                <w:rPr>
                                  <w:color w:val="FFFFFF" w:themeColor="background1"/>
                                  <w:lang w:val="zh-CN"/>
                                  <w14:textFill>
                                    <w14:solidFill>
                                      <w14:schemeClr w14:val="bg1"/>
                                    </w14:solidFill>
                                  </w14:textFill>
                                </w:rPr>
                                <w:t>II</w:t>
                              </w:r>
                              <w:r>
                                <w:rPr>
                                  <w:color w:val="FFFFFF" w:themeColor="background1"/>
                                  <w14:textFill>
                                    <w14:solidFill>
                                      <w14:schemeClr w14:val="bg1"/>
                                    </w14:solidFill>
                                  </w14:textFill>
                                </w:rPr>
                                <w:fldChar w:fldCharType="end"/>
                              </w:r>
                            </w:p>
                          </w:sdtContent>
                        </w:sdt>
                        <w:p>
                          <w:pPr>
                            <w:ind w:firstLine="560"/>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39.15pt;height:27.75pt;width:144pt;mso-position-horizontal:right;mso-position-horizontal-relative:margin;mso-wrap-style:none;z-index:251661312;mso-width-relative:page;mso-height-relative:page;" filled="f" stroked="f" coordsize="21600,21600" o:gfxdata="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9eseDXAAAABwEAAA8AAAAAAAAAAQAgAAAAIgAAAGRycy9kb3ducmV2LnhtbFBL&#10;AQIUABQAAAAIAIdO4kCkiVi8MAIAAFYEAAAOAAAAAAAAAAEAIAAAACYBAABkcnMvZTJvRG9jLnht&#10;bFBLBQYAAAAABgAGAFkBAADIBQAAAAA=&#10;">
              <v:fill on="f" focussize="0,0"/>
              <v:stroke on="f" weight="0.5pt"/>
              <v:imagedata o:title=""/>
              <o:lock v:ext="edit" aspectratio="f"/>
              <v:textbox inset="0mm,0mm,0mm,0mm">
                <w:txbxContent>
                  <w:sdt>
                    <w:sdtPr>
                      <w:rPr>
                        <w:color w:val="FFFFFF" w:themeColor="background1"/>
                        <w14:textFill>
                          <w14:solidFill>
                            <w14:schemeClr w14:val="bg1"/>
                          </w14:solidFill>
                        </w14:textFill>
                      </w:rPr>
                      <w:id w:val="-832214856"/>
                    </w:sdtPr>
                    <w:sdtEndPr>
                      <w:rPr>
                        <w:color w:val="auto"/>
                      </w:rPr>
                    </w:sdtEndPr>
                    <w:sdtContent>
                      <w:p>
                        <w:pPr>
                          <w:pStyle w:val="8"/>
                          <w:ind w:firstLine="360"/>
                          <w:jc w:val="center"/>
                        </w:pPr>
                        <w:r>
                          <w:rPr>
                            <w:color w:val="FFFFFF" w:themeColor="background1"/>
                            <w14:textFill>
                              <w14:solidFill>
                                <w14:schemeClr w14:val="bg1"/>
                              </w14:solidFill>
                            </w14:textFill>
                          </w:rPr>
                          <w:fldChar w:fldCharType="begin"/>
                        </w:r>
                        <w:r>
                          <w:rPr>
                            <w:color w:val="FFFFFF" w:themeColor="background1"/>
                            <w14:textFill>
                              <w14:solidFill>
                                <w14:schemeClr w14:val="bg1"/>
                              </w14:solidFill>
                            </w14:textFill>
                          </w:rPr>
                          <w:instrText xml:space="preserve">PAGE   \* MERGEFORMAT</w:instrText>
                        </w:r>
                        <w:r>
                          <w:rPr>
                            <w:color w:val="FFFFFF" w:themeColor="background1"/>
                            <w14:textFill>
                              <w14:solidFill>
                                <w14:schemeClr w14:val="bg1"/>
                              </w14:solidFill>
                            </w14:textFill>
                          </w:rPr>
                          <w:fldChar w:fldCharType="separate"/>
                        </w:r>
                        <w:r>
                          <w:rPr>
                            <w:color w:val="FFFFFF" w:themeColor="background1"/>
                            <w:lang w:val="zh-CN"/>
                            <w14:textFill>
                              <w14:solidFill>
                                <w14:schemeClr w14:val="bg1"/>
                              </w14:solidFill>
                            </w14:textFill>
                          </w:rPr>
                          <w:t>II</w:t>
                        </w:r>
                        <w:r>
                          <w:rPr>
                            <w:color w:val="FFFFFF" w:themeColor="background1"/>
                            <w14:textFill>
                              <w14:solidFill>
                                <w14:schemeClr w14:val="bg1"/>
                              </w14:solidFill>
                            </w14:textFill>
                          </w:rPr>
                          <w:fldChar w:fldCharType="end"/>
                        </w:r>
                      </w:p>
                    </w:sdtContent>
                  </w:sdt>
                  <w:p>
                    <w:pPr>
                      <w:ind w:firstLine="560"/>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560"/>
      </w:pPr>
      <w:r>
        <w:separator/>
      </w:r>
    </w:p>
  </w:footnote>
  <w:footnote w:type="continuationSeparator" w:id="1">
    <w:p>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560" w:firstLine="0" w:firstLineChars="0"/>
    </w:pPr>
    <w:r>
      <w:drawing>
        <wp:anchor distT="0" distB="0" distL="114300" distR="114300" simplePos="0" relativeHeight="251659264" behindDoc="1" locked="0" layoutInCell="1" allowOverlap="1">
          <wp:simplePos x="0" y="0"/>
          <wp:positionH relativeFrom="page">
            <wp:posOffset>9525</wp:posOffset>
          </wp:positionH>
          <wp:positionV relativeFrom="paragraph">
            <wp:posOffset>-540385</wp:posOffset>
          </wp:positionV>
          <wp:extent cx="15100300" cy="10677525"/>
          <wp:effectExtent l="0" t="0" r="6350" b="9525"/>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00300" cy="1067752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600"/>
    <w:rsid w:val="00001109"/>
    <w:rsid w:val="000015D3"/>
    <w:rsid w:val="00002C33"/>
    <w:rsid w:val="000045C2"/>
    <w:rsid w:val="000115D7"/>
    <w:rsid w:val="00013A20"/>
    <w:rsid w:val="00013B4C"/>
    <w:rsid w:val="00016BBA"/>
    <w:rsid w:val="000170E1"/>
    <w:rsid w:val="00017771"/>
    <w:rsid w:val="00027E6E"/>
    <w:rsid w:val="00030678"/>
    <w:rsid w:val="000379FE"/>
    <w:rsid w:val="00037F0A"/>
    <w:rsid w:val="00046AE8"/>
    <w:rsid w:val="00054B17"/>
    <w:rsid w:val="00056261"/>
    <w:rsid w:val="00057559"/>
    <w:rsid w:val="00057D1F"/>
    <w:rsid w:val="00063364"/>
    <w:rsid w:val="00064AAD"/>
    <w:rsid w:val="0007337B"/>
    <w:rsid w:val="000749E9"/>
    <w:rsid w:val="0008106F"/>
    <w:rsid w:val="00081A92"/>
    <w:rsid w:val="000820CF"/>
    <w:rsid w:val="000841C7"/>
    <w:rsid w:val="00086405"/>
    <w:rsid w:val="000876B3"/>
    <w:rsid w:val="000905E4"/>
    <w:rsid w:val="000906BA"/>
    <w:rsid w:val="000916E9"/>
    <w:rsid w:val="00094A53"/>
    <w:rsid w:val="00094B24"/>
    <w:rsid w:val="00095A52"/>
    <w:rsid w:val="00095EE7"/>
    <w:rsid w:val="0009672A"/>
    <w:rsid w:val="0009772C"/>
    <w:rsid w:val="000A02FF"/>
    <w:rsid w:val="000A281A"/>
    <w:rsid w:val="000A2D7E"/>
    <w:rsid w:val="000A2E19"/>
    <w:rsid w:val="000A6093"/>
    <w:rsid w:val="000A7FF1"/>
    <w:rsid w:val="000B1210"/>
    <w:rsid w:val="000B4B21"/>
    <w:rsid w:val="000B54A9"/>
    <w:rsid w:val="000B73F5"/>
    <w:rsid w:val="000C0FB5"/>
    <w:rsid w:val="000C156D"/>
    <w:rsid w:val="000C2706"/>
    <w:rsid w:val="000C3619"/>
    <w:rsid w:val="000C3BC3"/>
    <w:rsid w:val="000C5A03"/>
    <w:rsid w:val="000C698C"/>
    <w:rsid w:val="000D0D8F"/>
    <w:rsid w:val="000D1BE1"/>
    <w:rsid w:val="000D20EF"/>
    <w:rsid w:val="000D4485"/>
    <w:rsid w:val="000D5678"/>
    <w:rsid w:val="000D6DEF"/>
    <w:rsid w:val="000E0A9F"/>
    <w:rsid w:val="000F1999"/>
    <w:rsid w:val="000F4868"/>
    <w:rsid w:val="00106997"/>
    <w:rsid w:val="00107993"/>
    <w:rsid w:val="001116C7"/>
    <w:rsid w:val="00114D8C"/>
    <w:rsid w:val="00116EE5"/>
    <w:rsid w:val="00120431"/>
    <w:rsid w:val="001221BA"/>
    <w:rsid w:val="001243F8"/>
    <w:rsid w:val="00124BEE"/>
    <w:rsid w:val="00126063"/>
    <w:rsid w:val="0013373F"/>
    <w:rsid w:val="001363A6"/>
    <w:rsid w:val="00141A4E"/>
    <w:rsid w:val="00141F26"/>
    <w:rsid w:val="00142565"/>
    <w:rsid w:val="00153C86"/>
    <w:rsid w:val="00156358"/>
    <w:rsid w:val="00156CB5"/>
    <w:rsid w:val="001578C1"/>
    <w:rsid w:val="00160367"/>
    <w:rsid w:val="00163485"/>
    <w:rsid w:val="00165166"/>
    <w:rsid w:val="001679BF"/>
    <w:rsid w:val="00173702"/>
    <w:rsid w:val="0017519C"/>
    <w:rsid w:val="00177733"/>
    <w:rsid w:val="0018417D"/>
    <w:rsid w:val="00185590"/>
    <w:rsid w:val="0018643E"/>
    <w:rsid w:val="00191642"/>
    <w:rsid w:val="00191D2E"/>
    <w:rsid w:val="001934C9"/>
    <w:rsid w:val="00194EF7"/>
    <w:rsid w:val="001950B0"/>
    <w:rsid w:val="00195F4C"/>
    <w:rsid w:val="0019771A"/>
    <w:rsid w:val="001A59F7"/>
    <w:rsid w:val="001A71B0"/>
    <w:rsid w:val="001A7C51"/>
    <w:rsid w:val="001A7C78"/>
    <w:rsid w:val="001B0466"/>
    <w:rsid w:val="001B1178"/>
    <w:rsid w:val="001B2592"/>
    <w:rsid w:val="001B3AF0"/>
    <w:rsid w:val="001B728C"/>
    <w:rsid w:val="001B76F1"/>
    <w:rsid w:val="001C0AED"/>
    <w:rsid w:val="001C4149"/>
    <w:rsid w:val="001C547F"/>
    <w:rsid w:val="001C68C4"/>
    <w:rsid w:val="001D1735"/>
    <w:rsid w:val="001D2B72"/>
    <w:rsid w:val="001D357D"/>
    <w:rsid w:val="001D544A"/>
    <w:rsid w:val="001D6539"/>
    <w:rsid w:val="001D6A78"/>
    <w:rsid w:val="001E33F7"/>
    <w:rsid w:val="001E3CC7"/>
    <w:rsid w:val="001E5F37"/>
    <w:rsid w:val="001F166F"/>
    <w:rsid w:val="001F39AB"/>
    <w:rsid w:val="001F51F0"/>
    <w:rsid w:val="001F7764"/>
    <w:rsid w:val="001F7F84"/>
    <w:rsid w:val="00205FEC"/>
    <w:rsid w:val="00207C5D"/>
    <w:rsid w:val="0021167D"/>
    <w:rsid w:val="00212B8A"/>
    <w:rsid w:val="00213705"/>
    <w:rsid w:val="00215F51"/>
    <w:rsid w:val="00221CDD"/>
    <w:rsid w:val="002268E3"/>
    <w:rsid w:val="00227FFC"/>
    <w:rsid w:val="00234A63"/>
    <w:rsid w:val="002359CE"/>
    <w:rsid w:val="00236344"/>
    <w:rsid w:val="00237A28"/>
    <w:rsid w:val="0024131C"/>
    <w:rsid w:val="00242D7B"/>
    <w:rsid w:val="0024364A"/>
    <w:rsid w:val="00244D91"/>
    <w:rsid w:val="00245ED7"/>
    <w:rsid w:val="00251950"/>
    <w:rsid w:val="00254174"/>
    <w:rsid w:val="00260643"/>
    <w:rsid w:val="00260A8C"/>
    <w:rsid w:val="00266B76"/>
    <w:rsid w:val="00266CD9"/>
    <w:rsid w:val="00271ACB"/>
    <w:rsid w:val="00271EC8"/>
    <w:rsid w:val="00276231"/>
    <w:rsid w:val="002809E0"/>
    <w:rsid w:val="00282339"/>
    <w:rsid w:val="00283879"/>
    <w:rsid w:val="00284B44"/>
    <w:rsid w:val="00290633"/>
    <w:rsid w:val="00292C8E"/>
    <w:rsid w:val="00293F47"/>
    <w:rsid w:val="002947E3"/>
    <w:rsid w:val="00295BD4"/>
    <w:rsid w:val="002A0A60"/>
    <w:rsid w:val="002A1CA7"/>
    <w:rsid w:val="002A2261"/>
    <w:rsid w:val="002A5346"/>
    <w:rsid w:val="002A7AB3"/>
    <w:rsid w:val="002B0104"/>
    <w:rsid w:val="002B1208"/>
    <w:rsid w:val="002B3166"/>
    <w:rsid w:val="002C31FB"/>
    <w:rsid w:val="002C4161"/>
    <w:rsid w:val="002D18A9"/>
    <w:rsid w:val="002D2E03"/>
    <w:rsid w:val="002D3068"/>
    <w:rsid w:val="002D6182"/>
    <w:rsid w:val="002E080B"/>
    <w:rsid w:val="002E40ED"/>
    <w:rsid w:val="002E4A56"/>
    <w:rsid w:val="002E5037"/>
    <w:rsid w:val="002F08FD"/>
    <w:rsid w:val="002F4725"/>
    <w:rsid w:val="002F4BFC"/>
    <w:rsid w:val="002F5141"/>
    <w:rsid w:val="002F5977"/>
    <w:rsid w:val="002F766F"/>
    <w:rsid w:val="003128D9"/>
    <w:rsid w:val="003169B2"/>
    <w:rsid w:val="00322C50"/>
    <w:rsid w:val="003236D6"/>
    <w:rsid w:val="00323E8B"/>
    <w:rsid w:val="003339B2"/>
    <w:rsid w:val="00334052"/>
    <w:rsid w:val="003403AE"/>
    <w:rsid w:val="0034798E"/>
    <w:rsid w:val="00350693"/>
    <w:rsid w:val="00350A17"/>
    <w:rsid w:val="0036019D"/>
    <w:rsid w:val="00360987"/>
    <w:rsid w:val="00366379"/>
    <w:rsid w:val="00366665"/>
    <w:rsid w:val="003674E9"/>
    <w:rsid w:val="003676E9"/>
    <w:rsid w:val="00367AAD"/>
    <w:rsid w:val="003703D7"/>
    <w:rsid w:val="00383684"/>
    <w:rsid w:val="003906DC"/>
    <w:rsid w:val="003924AD"/>
    <w:rsid w:val="0039415B"/>
    <w:rsid w:val="003966F0"/>
    <w:rsid w:val="00396A10"/>
    <w:rsid w:val="003A1B6F"/>
    <w:rsid w:val="003A7D7F"/>
    <w:rsid w:val="003B7629"/>
    <w:rsid w:val="003B7FFE"/>
    <w:rsid w:val="003C0C16"/>
    <w:rsid w:val="003C5E73"/>
    <w:rsid w:val="003D1C9A"/>
    <w:rsid w:val="003D69A7"/>
    <w:rsid w:val="003E229E"/>
    <w:rsid w:val="003E35F1"/>
    <w:rsid w:val="003E49B2"/>
    <w:rsid w:val="003E562D"/>
    <w:rsid w:val="003E7E4C"/>
    <w:rsid w:val="003F3B28"/>
    <w:rsid w:val="003F47AC"/>
    <w:rsid w:val="003F5700"/>
    <w:rsid w:val="003F5E03"/>
    <w:rsid w:val="003F7105"/>
    <w:rsid w:val="00401065"/>
    <w:rsid w:val="0040491E"/>
    <w:rsid w:val="00404D44"/>
    <w:rsid w:val="00405280"/>
    <w:rsid w:val="00406A35"/>
    <w:rsid w:val="0040749A"/>
    <w:rsid w:val="004113E3"/>
    <w:rsid w:val="004125B6"/>
    <w:rsid w:val="004129CF"/>
    <w:rsid w:val="0041496F"/>
    <w:rsid w:val="00414D85"/>
    <w:rsid w:val="00415BAF"/>
    <w:rsid w:val="004160AC"/>
    <w:rsid w:val="00416D3C"/>
    <w:rsid w:val="0042308B"/>
    <w:rsid w:val="00425844"/>
    <w:rsid w:val="00425866"/>
    <w:rsid w:val="00430B3C"/>
    <w:rsid w:val="0043444B"/>
    <w:rsid w:val="00442EF6"/>
    <w:rsid w:val="004441CC"/>
    <w:rsid w:val="004452BB"/>
    <w:rsid w:val="00451FFC"/>
    <w:rsid w:val="004529B2"/>
    <w:rsid w:val="0045307C"/>
    <w:rsid w:val="00453636"/>
    <w:rsid w:val="00457A7B"/>
    <w:rsid w:val="004601BD"/>
    <w:rsid w:val="00461884"/>
    <w:rsid w:val="00461F8C"/>
    <w:rsid w:val="0046257C"/>
    <w:rsid w:val="00462EF1"/>
    <w:rsid w:val="004716FF"/>
    <w:rsid w:val="00472517"/>
    <w:rsid w:val="00472A33"/>
    <w:rsid w:val="00477166"/>
    <w:rsid w:val="00484B37"/>
    <w:rsid w:val="004853F9"/>
    <w:rsid w:val="004904F9"/>
    <w:rsid w:val="0049069A"/>
    <w:rsid w:val="004907BF"/>
    <w:rsid w:val="00492028"/>
    <w:rsid w:val="0049353C"/>
    <w:rsid w:val="004A0E14"/>
    <w:rsid w:val="004A2E75"/>
    <w:rsid w:val="004A41EE"/>
    <w:rsid w:val="004A636C"/>
    <w:rsid w:val="004A6EDA"/>
    <w:rsid w:val="004C1016"/>
    <w:rsid w:val="004C51DB"/>
    <w:rsid w:val="004D416B"/>
    <w:rsid w:val="004D75CA"/>
    <w:rsid w:val="004E7142"/>
    <w:rsid w:val="004F2AE5"/>
    <w:rsid w:val="004F30C2"/>
    <w:rsid w:val="004F3F55"/>
    <w:rsid w:val="004F4310"/>
    <w:rsid w:val="004F4837"/>
    <w:rsid w:val="004F4C4B"/>
    <w:rsid w:val="004F65DB"/>
    <w:rsid w:val="004F7673"/>
    <w:rsid w:val="00502978"/>
    <w:rsid w:val="00513003"/>
    <w:rsid w:val="00513CF4"/>
    <w:rsid w:val="00517919"/>
    <w:rsid w:val="00531A61"/>
    <w:rsid w:val="005330A2"/>
    <w:rsid w:val="00536D65"/>
    <w:rsid w:val="00537112"/>
    <w:rsid w:val="00537AF5"/>
    <w:rsid w:val="00541F65"/>
    <w:rsid w:val="00542FE3"/>
    <w:rsid w:val="0054459F"/>
    <w:rsid w:val="00544EF0"/>
    <w:rsid w:val="00547AFC"/>
    <w:rsid w:val="005532B4"/>
    <w:rsid w:val="00557E19"/>
    <w:rsid w:val="0056199B"/>
    <w:rsid w:val="00567588"/>
    <w:rsid w:val="00570F18"/>
    <w:rsid w:val="00571886"/>
    <w:rsid w:val="00575081"/>
    <w:rsid w:val="0057509D"/>
    <w:rsid w:val="00585BFA"/>
    <w:rsid w:val="00592235"/>
    <w:rsid w:val="005A09F2"/>
    <w:rsid w:val="005A1434"/>
    <w:rsid w:val="005A293D"/>
    <w:rsid w:val="005A654F"/>
    <w:rsid w:val="005A756A"/>
    <w:rsid w:val="005B08DA"/>
    <w:rsid w:val="005B09C6"/>
    <w:rsid w:val="005B429B"/>
    <w:rsid w:val="005B5810"/>
    <w:rsid w:val="005B6316"/>
    <w:rsid w:val="005C1085"/>
    <w:rsid w:val="005C4C07"/>
    <w:rsid w:val="005D2615"/>
    <w:rsid w:val="005D2DF0"/>
    <w:rsid w:val="005D34FA"/>
    <w:rsid w:val="005E22CB"/>
    <w:rsid w:val="005E4364"/>
    <w:rsid w:val="005F2626"/>
    <w:rsid w:val="005F2C0D"/>
    <w:rsid w:val="005F7144"/>
    <w:rsid w:val="0060310F"/>
    <w:rsid w:val="00603DCE"/>
    <w:rsid w:val="00606810"/>
    <w:rsid w:val="006103B3"/>
    <w:rsid w:val="00611421"/>
    <w:rsid w:val="00622EAD"/>
    <w:rsid w:val="00623679"/>
    <w:rsid w:val="00624804"/>
    <w:rsid w:val="00625065"/>
    <w:rsid w:val="00633C83"/>
    <w:rsid w:val="0064114C"/>
    <w:rsid w:val="00641993"/>
    <w:rsid w:val="006427A8"/>
    <w:rsid w:val="0064362F"/>
    <w:rsid w:val="0064437B"/>
    <w:rsid w:val="006464AC"/>
    <w:rsid w:val="00651DF2"/>
    <w:rsid w:val="0065444E"/>
    <w:rsid w:val="0066135E"/>
    <w:rsid w:val="0066184F"/>
    <w:rsid w:val="00665054"/>
    <w:rsid w:val="00670016"/>
    <w:rsid w:val="006712B0"/>
    <w:rsid w:val="00675A55"/>
    <w:rsid w:val="00681400"/>
    <w:rsid w:val="00682DF1"/>
    <w:rsid w:val="00690D35"/>
    <w:rsid w:val="006917BC"/>
    <w:rsid w:val="00691859"/>
    <w:rsid w:val="006936E1"/>
    <w:rsid w:val="00693CFC"/>
    <w:rsid w:val="00696080"/>
    <w:rsid w:val="006A349D"/>
    <w:rsid w:val="006A6A55"/>
    <w:rsid w:val="006B23A9"/>
    <w:rsid w:val="006C35CF"/>
    <w:rsid w:val="006C5878"/>
    <w:rsid w:val="006C7A4B"/>
    <w:rsid w:val="006D4701"/>
    <w:rsid w:val="006E6D1E"/>
    <w:rsid w:val="006F2488"/>
    <w:rsid w:val="006F2871"/>
    <w:rsid w:val="006F34B7"/>
    <w:rsid w:val="006F4321"/>
    <w:rsid w:val="006F7E41"/>
    <w:rsid w:val="0070019A"/>
    <w:rsid w:val="00702680"/>
    <w:rsid w:val="00704CDE"/>
    <w:rsid w:val="0070689B"/>
    <w:rsid w:val="00711A11"/>
    <w:rsid w:val="007123A2"/>
    <w:rsid w:val="00715ABA"/>
    <w:rsid w:val="00720EC8"/>
    <w:rsid w:val="007257D9"/>
    <w:rsid w:val="007258B6"/>
    <w:rsid w:val="0072716A"/>
    <w:rsid w:val="00731ED5"/>
    <w:rsid w:val="0073206B"/>
    <w:rsid w:val="00735457"/>
    <w:rsid w:val="00735465"/>
    <w:rsid w:val="007358BD"/>
    <w:rsid w:val="00736B80"/>
    <w:rsid w:val="00737CC0"/>
    <w:rsid w:val="00745B7D"/>
    <w:rsid w:val="00747490"/>
    <w:rsid w:val="00753F3C"/>
    <w:rsid w:val="007547E2"/>
    <w:rsid w:val="00755351"/>
    <w:rsid w:val="007606F9"/>
    <w:rsid w:val="0076342B"/>
    <w:rsid w:val="0077023C"/>
    <w:rsid w:val="007714BF"/>
    <w:rsid w:val="0077154E"/>
    <w:rsid w:val="00780FDC"/>
    <w:rsid w:val="00781C04"/>
    <w:rsid w:val="00787EFD"/>
    <w:rsid w:val="00792862"/>
    <w:rsid w:val="007938FD"/>
    <w:rsid w:val="00796AEF"/>
    <w:rsid w:val="007A318E"/>
    <w:rsid w:val="007A379D"/>
    <w:rsid w:val="007A54C5"/>
    <w:rsid w:val="007B4E43"/>
    <w:rsid w:val="007B6A0E"/>
    <w:rsid w:val="007C08CD"/>
    <w:rsid w:val="007C5F98"/>
    <w:rsid w:val="007D3618"/>
    <w:rsid w:val="007D498C"/>
    <w:rsid w:val="007D61CD"/>
    <w:rsid w:val="007E6C52"/>
    <w:rsid w:val="007F51BE"/>
    <w:rsid w:val="007F7169"/>
    <w:rsid w:val="00801073"/>
    <w:rsid w:val="00801765"/>
    <w:rsid w:val="00802834"/>
    <w:rsid w:val="00804EA7"/>
    <w:rsid w:val="00815780"/>
    <w:rsid w:val="008168CE"/>
    <w:rsid w:val="00823E06"/>
    <w:rsid w:val="00841441"/>
    <w:rsid w:val="00842600"/>
    <w:rsid w:val="0085158B"/>
    <w:rsid w:val="00851F70"/>
    <w:rsid w:val="00853681"/>
    <w:rsid w:val="00854CC0"/>
    <w:rsid w:val="00856500"/>
    <w:rsid w:val="008567BC"/>
    <w:rsid w:val="008613E2"/>
    <w:rsid w:val="00864758"/>
    <w:rsid w:val="00867136"/>
    <w:rsid w:val="00867304"/>
    <w:rsid w:val="00873A02"/>
    <w:rsid w:val="0088036B"/>
    <w:rsid w:val="008815A4"/>
    <w:rsid w:val="00881ED6"/>
    <w:rsid w:val="0088323F"/>
    <w:rsid w:val="00887A33"/>
    <w:rsid w:val="0089050D"/>
    <w:rsid w:val="008A030A"/>
    <w:rsid w:val="008A19C4"/>
    <w:rsid w:val="008A569E"/>
    <w:rsid w:val="008A7DE4"/>
    <w:rsid w:val="008B0D8D"/>
    <w:rsid w:val="008B2385"/>
    <w:rsid w:val="008B3230"/>
    <w:rsid w:val="008C06F5"/>
    <w:rsid w:val="008C0C91"/>
    <w:rsid w:val="008C1003"/>
    <w:rsid w:val="008C4861"/>
    <w:rsid w:val="008C6FC1"/>
    <w:rsid w:val="008C7D67"/>
    <w:rsid w:val="008D3EE0"/>
    <w:rsid w:val="008D404E"/>
    <w:rsid w:val="008D637E"/>
    <w:rsid w:val="008D6B7A"/>
    <w:rsid w:val="008D7C1D"/>
    <w:rsid w:val="008E20EC"/>
    <w:rsid w:val="008E2742"/>
    <w:rsid w:val="008E56AD"/>
    <w:rsid w:val="008E7E53"/>
    <w:rsid w:val="008F1898"/>
    <w:rsid w:val="008F48D6"/>
    <w:rsid w:val="008F4D3D"/>
    <w:rsid w:val="00900CB0"/>
    <w:rsid w:val="009015B5"/>
    <w:rsid w:val="00901753"/>
    <w:rsid w:val="00903246"/>
    <w:rsid w:val="009057E6"/>
    <w:rsid w:val="009067E9"/>
    <w:rsid w:val="00907364"/>
    <w:rsid w:val="009077D9"/>
    <w:rsid w:val="00910FB2"/>
    <w:rsid w:val="00922577"/>
    <w:rsid w:val="009307DF"/>
    <w:rsid w:val="00941491"/>
    <w:rsid w:val="00942E48"/>
    <w:rsid w:val="00951578"/>
    <w:rsid w:val="0095473D"/>
    <w:rsid w:val="0095626D"/>
    <w:rsid w:val="00956A18"/>
    <w:rsid w:val="009570C7"/>
    <w:rsid w:val="00961536"/>
    <w:rsid w:val="00963D6C"/>
    <w:rsid w:val="00971DCB"/>
    <w:rsid w:val="00971EBE"/>
    <w:rsid w:val="00972B79"/>
    <w:rsid w:val="00974A47"/>
    <w:rsid w:val="0097671E"/>
    <w:rsid w:val="00976D10"/>
    <w:rsid w:val="0098016C"/>
    <w:rsid w:val="009846E9"/>
    <w:rsid w:val="009855D8"/>
    <w:rsid w:val="00986770"/>
    <w:rsid w:val="00990345"/>
    <w:rsid w:val="00990617"/>
    <w:rsid w:val="00992F2A"/>
    <w:rsid w:val="00995E13"/>
    <w:rsid w:val="009A1086"/>
    <w:rsid w:val="009A48E6"/>
    <w:rsid w:val="009B42AA"/>
    <w:rsid w:val="009B46F9"/>
    <w:rsid w:val="009B7876"/>
    <w:rsid w:val="009B79DB"/>
    <w:rsid w:val="009C02BB"/>
    <w:rsid w:val="009C456F"/>
    <w:rsid w:val="009C5681"/>
    <w:rsid w:val="009D0846"/>
    <w:rsid w:val="009D223F"/>
    <w:rsid w:val="009D2450"/>
    <w:rsid w:val="009D4D80"/>
    <w:rsid w:val="009D6BFD"/>
    <w:rsid w:val="009E0537"/>
    <w:rsid w:val="009E142E"/>
    <w:rsid w:val="009E28CE"/>
    <w:rsid w:val="009E2D7F"/>
    <w:rsid w:val="009E3C07"/>
    <w:rsid w:val="009E3D23"/>
    <w:rsid w:val="009E4EB1"/>
    <w:rsid w:val="009E7F63"/>
    <w:rsid w:val="009F1070"/>
    <w:rsid w:val="009F134A"/>
    <w:rsid w:val="009F224A"/>
    <w:rsid w:val="009F33F1"/>
    <w:rsid w:val="009F37C2"/>
    <w:rsid w:val="009F4157"/>
    <w:rsid w:val="009F7CAC"/>
    <w:rsid w:val="00A034BB"/>
    <w:rsid w:val="00A12197"/>
    <w:rsid w:val="00A161BD"/>
    <w:rsid w:val="00A23E86"/>
    <w:rsid w:val="00A24A09"/>
    <w:rsid w:val="00A26FAE"/>
    <w:rsid w:val="00A3547F"/>
    <w:rsid w:val="00A35957"/>
    <w:rsid w:val="00A3623F"/>
    <w:rsid w:val="00A37050"/>
    <w:rsid w:val="00A436FA"/>
    <w:rsid w:val="00A53DF6"/>
    <w:rsid w:val="00A54F29"/>
    <w:rsid w:val="00A55070"/>
    <w:rsid w:val="00A56274"/>
    <w:rsid w:val="00A5719A"/>
    <w:rsid w:val="00A60236"/>
    <w:rsid w:val="00A62C27"/>
    <w:rsid w:val="00A62E13"/>
    <w:rsid w:val="00A650AF"/>
    <w:rsid w:val="00A6544A"/>
    <w:rsid w:val="00A72424"/>
    <w:rsid w:val="00A72455"/>
    <w:rsid w:val="00A7417F"/>
    <w:rsid w:val="00A74F8F"/>
    <w:rsid w:val="00A753DC"/>
    <w:rsid w:val="00A77617"/>
    <w:rsid w:val="00A85CAC"/>
    <w:rsid w:val="00A85D87"/>
    <w:rsid w:val="00A87448"/>
    <w:rsid w:val="00A906D4"/>
    <w:rsid w:val="00A91321"/>
    <w:rsid w:val="00A951BF"/>
    <w:rsid w:val="00AA079B"/>
    <w:rsid w:val="00AA6191"/>
    <w:rsid w:val="00AA626C"/>
    <w:rsid w:val="00AA71E5"/>
    <w:rsid w:val="00AB270E"/>
    <w:rsid w:val="00AB4A28"/>
    <w:rsid w:val="00AB6D56"/>
    <w:rsid w:val="00AB75E1"/>
    <w:rsid w:val="00AB7620"/>
    <w:rsid w:val="00AC2556"/>
    <w:rsid w:val="00AD2A6E"/>
    <w:rsid w:val="00AD3147"/>
    <w:rsid w:val="00AD32D3"/>
    <w:rsid w:val="00AD5251"/>
    <w:rsid w:val="00AE1B02"/>
    <w:rsid w:val="00AE259A"/>
    <w:rsid w:val="00AE7B35"/>
    <w:rsid w:val="00AE7D46"/>
    <w:rsid w:val="00AF7118"/>
    <w:rsid w:val="00B00A1E"/>
    <w:rsid w:val="00B00D8E"/>
    <w:rsid w:val="00B02898"/>
    <w:rsid w:val="00B03EB8"/>
    <w:rsid w:val="00B070A9"/>
    <w:rsid w:val="00B07B88"/>
    <w:rsid w:val="00B1076C"/>
    <w:rsid w:val="00B12B87"/>
    <w:rsid w:val="00B169BB"/>
    <w:rsid w:val="00B1792E"/>
    <w:rsid w:val="00B224A8"/>
    <w:rsid w:val="00B22B63"/>
    <w:rsid w:val="00B23354"/>
    <w:rsid w:val="00B269CA"/>
    <w:rsid w:val="00B27CF5"/>
    <w:rsid w:val="00B30F39"/>
    <w:rsid w:val="00B3437A"/>
    <w:rsid w:val="00B34D37"/>
    <w:rsid w:val="00B354D2"/>
    <w:rsid w:val="00B440E4"/>
    <w:rsid w:val="00B46752"/>
    <w:rsid w:val="00B5055E"/>
    <w:rsid w:val="00B55F8A"/>
    <w:rsid w:val="00B60DAF"/>
    <w:rsid w:val="00B621C6"/>
    <w:rsid w:val="00B623AF"/>
    <w:rsid w:val="00B627EA"/>
    <w:rsid w:val="00B63F4C"/>
    <w:rsid w:val="00B656E7"/>
    <w:rsid w:val="00B65E13"/>
    <w:rsid w:val="00B7020A"/>
    <w:rsid w:val="00B71BEF"/>
    <w:rsid w:val="00B75BB6"/>
    <w:rsid w:val="00B77EA9"/>
    <w:rsid w:val="00B8118B"/>
    <w:rsid w:val="00B81B98"/>
    <w:rsid w:val="00B82C9B"/>
    <w:rsid w:val="00B87806"/>
    <w:rsid w:val="00B927E0"/>
    <w:rsid w:val="00B927E2"/>
    <w:rsid w:val="00B94B3C"/>
    <w:rsid w:val="00B951D1"/>
    <w:rsid w:val="00B96803"/>
    <w:rsid w:val="00B968A5"/>
    <w:rsid w:val="00BA06BA"/>
    <w:rsid w:val="00BA558F"/>
    <w:rsid w:val="00BA564D"/>
    <w:rsid w:val="00BB010C"/>
    <w:rsid w:val="00BB3777"/>
    <w:rsid w:val="00BB5AD0"/>
    <w:rsid w:val="00BB769C"/>
    <w:rsid w:val="00BC0E66"/>
    <w:rsid w:val="00BC37D3"/>
    <w:rsid w:val="00BC4607"/>
    <w:rsid w:val="00BC623C"/>
    <w:rsid w:val="00BC6FAA"/>
    <w:rsid w:val="00BC785C"/>
    <w:rsid w:val="00BD117A"/>
    <w:rsid w:val="00BD2E4B"/>
    <w:rsid w:val="00BD30FA"/>
    <w:rsid w:val="00BD715B"/>
    <w:rsid w:val="00BE26A4"/>
    <w:rsid w:val="00BE3B7D"/>
    <w:rsid w:val="00BE45E1"/>
    <w:rsid w:val="00BE6334"/>
    <w:rsid w:val="00BE65E6"/>
    <w:rsid w:val="00BE669C"/>
    <w:rsid w:val="00BF10F3"/>
    <w:rsid w:val="00BF3E47"/>
    <w:rsid w:val="00C00C92"/>
    <w:rsid w:val="00C0190B"/>
    <w:rsid w:val="00C067F3"/>
    <w:rsid w:val="00C12784"/>
    <w:rsid w:val="00C14501"/>
    <w:rsid w:val="00C146BC"/>
    <w:rsid w:val="00C14B9F"/>
    <w:rsid w:val="00C16391"/>
    <w:rsid w:val="00C26DE4"/>
    <w:rsid w:val="00C340B8"/>
    <w:rsid w:val="00C34E86"/>
    <w:rsid w:val="00C36DA6"/>
    <w:rsid w:val="00C40185"/>
    <w:rsid w:val="00C401D6"/>
    <w:rsid w:val="00C467AD"/>
    <w:rsid w:val="00C50DAE"/>
    <w:rsid w:val="00C510DF"/>
    <w:rsid w:val="00C531F0"/>
    <w:rsid w:val="00C62A28"/>
    <w:rsid w:val="00C62BE8"/>
    <w:rsid w:val="00C63527"/>
    <w:rsid w:val="00C63FEB"/>
    <w:rsid w:val="00C663FC"/>
    <w:rsid w:val="00C67364"/>
    <w:rsid w:val="00C74FF4"/>
    <w:rsid w:val="00C772CE"/>
    <w:rsid w:val="00C83A5F"/>
    <w:rsid w:val="00C87AB5"/>
    <w:rsid w:val="00C908D0"/>
    <w:rsid w:val="00C925BE"/>
    <w:rsid w:val="00C936E9"/>
    <w:rsid w:val="00C93EA8"/>
    <w:rsid w:val="00C96FE4"/>
    <w:rsid w:val="00CA18FC"/>
    <w:rsid w:val="00CA6B00"/>
    <w:rsid w:val="00CB00A4"/>
    <w:rsid w:val="00CC00E1"/>
    <w:rsid w:val="00CC1D39"/>
    <w:rsid w:val="00CC504C"/>
    <w:rsid w:val="00CD01F5"/>
    <w:rsid w:val="00CD1D60"/>
    <w:rsid w:val="00CD20DC"/>
    <w:rsid w:val="00CD4572"/>
    <w:rsid w:val="00CD5F8B"/>
    <w:rsid w:val="00CE0B8E"/>
    <w:rsid w:val="00CE2517"/>
    <w:rsid w:val="00CE3E12"/>
    <w:rsid w:val="00CE4777"/>
    <w:rsid w:val="00CE4F79"/>
    <w:rsid w:val="00CE6A1A"/>
    <w:rsid w:val="00CF3BCE"/>
    <w:rsid w:val="00CF5DC2"/>
    <w:rsid w:val="00CF7DD4"/>
    <w:rsid w:val="00D00005"/>
    <w:rsid w:val="00D0132A"/>
    <w:rsid w:val="00D14826"/>
    <w:rsid w:val="00D14BC7"/>
    <w:rsid w:val="00D16A3B"/>
    <w:rsid w:val="00D248D4"/>
    <w:rsid w:val="00D24AC0"/>
    <w:rsid w:val="00D25934"/>
    <w:rsid w:val="00D27A6A"/>
    <w:rsid w:val="00D3180B"/>
    <w:rsid w:val="00D31836"/>
    <w:rsid w:val="00D3250E"/>
    <w:rsid w:val="00D34665"/>
    <w:rsid w:val="00D34FDA"/>
    <w:rsid w:val="00D40217"/>
    <w:rsid w:val="00D405A2"/>
    <w:rsid w:val="00D417A9"/>
    <w:rsid w:val="00D44C0B"/>
    <w:rsid w:val="00D47532"/>
    <w:rsid w:val="00D54967"/>
    <w:rsid w:val="00D54A44"/>
    <w:rsid w:val="00D56563"/>
    <w:rsid w:val="00D61A73"/>
    <w:rsid w:val="00D64AB6"/>
    <w:rsid w:val="00D65844"/>
    <w:rsid w:val="00D67E2A"/>
    <w:rsid w:val="00D70101"/>
    <w:rsid w:val="00D746FD"/>
    <w:rsid w:val="00D80D47"/>
    <w:rsid w:val="00D86CB0"/>
    <w:rsid w:val="00D90CBF"/>
    <w:rsid w:val="00D90E30"/>
    <w:rsid w:val="00D91C4E"/>
    <w:rsid w:val="00D93F0E"/>
    <w:rsid w:val="00D95067"/>
    <w:rsid w:val="00D95DE5"/>
    <w:rsid w:val="00D968CF"/>
    <w:rsid w:val="00D96C56"/>
    <w:rsid w:val="00DA1DF9"/>
    <w:rsid w:val="00DA32A9"/>
    <w:rsid w:val="00DA4CF4"/>
    <w:rsid w:val="00DA4D64"/>
    <w:rsid w:val="00DB0B4B"/>
    <w:rsid w:val="00DB6E68"/>
    <w:rsid w:val="00DC0FAE"/>
    <w:rsid w:val="00DC1A7F"/>
    <w:rsid w:val="00DC1F19"/>
    <w:rsid w:val="00DC4BBF"/>
    <w:rsid w:val="00DD08BC"/>
    <w:rsid w:val="00DD094D"/>
    <w:rsid w:val="00DD1D20"/>
    <w:rsid w:val="00DD201B"/>
    <w:rsid w:val="00DD2493"/>
    <w:rsid w:val="00DD32E3"/>
    <w:rsid w:val="00DD5B53"/>
    <w:rsid w:val="00DE15DB"/>
    <w:rsid w:val="00DE3AD7"/>
    <w:rsid w:val="00DE5A75"/>
    <w:rsid w:val="00DE6236"/>
    <w:rsid w:val="00DF1854"/>
    <w:rsid w:val="00DF2529"/>
    <w:rsid w:val="00DF2664"/>
    <w:rsid w:val="00DF7089"/>
    <w:rsid w:val="00E012BC"/>
    <w:rsid w:val="00E03773"/>
    <w:rsid w:val="00E06D62"/>
    <w:rsid w:val="00E07029"/>
    <w:rsid w:val="00E14263"/>
    <w:rsid w:val="00E14FF7"/>
    <w:rsid w:val="00E1596E"/>
    <w:rsid w:val="00E16CBD"/>
    <w:rsid w:val="00E21999"/>
    <w:rsid w:val="00E232EB"/>
    <w:rsid w:val="00E30024"/>
    <w:rsid w:val="00E3136E"/>
    <w:rsid w:val="00E33901"/>
    <w:rsid w:val="00E35837"/>
    <w:rsid w:val="00E43B93"/>
    <w:rsid w:val="00E44009"/>
    <w:rsid w:val="00E44D7F"/>
    <w:rsid w:val="00E4570C"/>
    <w:rsid w:val="00E45F0C"/>
    <w:rsid w:val="00E46ACD"/>
    <w:rsid w:val="00E47D21"/>
    <w:rsid w:val="00E52AD0"/>
    <w:rsid w:val="00E55B53"/>
    <w:rsid w:val="00E6153E"/>
    <w:rsid w:val="00E70730"/>
    <w:rsid w:val="00E70C08"/>
    <w:rsid w:val="00E72F67"/>
    <w:rsid w:val="00E7387C"/>
    <w:rsid w:val="00E77086"/>
    <w:rsid w:val="00E770FA"/>
    <w:rsid w:val="00E84CB1"/>
    <w:rsid w:val="00E85DDF"/>
    <w:rsid w:val="00E94D03"/>
    <w:rsid w:val="00E94D5D"/>
    <w:rsid w:val="00EA010F"/>
    <w:rsid w:val="00EA22D0"/>
    <w:rsid w:val="00EA2A56"/>
    <w:rsid w:val="00EA5A61"/>
    <w:rsid w:val="00EA5EA8"/>
    <w:rsid w:val="00EA703F"/>
    <w:rsid w:val="00EA7607"/>
    <w:rsid w:val="00EB1EC4"/>
    <w:rsid w:val="00EB3FAA"/>
    <w:rsid w:val="00EB608D"/>
    <w:rsid w:val="00EB6FA8"/>
    <w:rsid w:val="00EB79E0"/>
    <w:rsid w:val="00EB7FA4"/>
    <w:rsid w:val="00EC2BF5"/>
    <w:rsid w:val="00EC6E0E"/>
    <w:rsid w:val="00ED51A7"/>
    <w:rsid w:val="00ED5835"/>
    <w:rsid w:val="00EE1DF2"/>
    <w:rsid w:val="00EE7B6D"/>
    <w:rsid w:val="00EF710D"/>
    <w:rsid w:val="00EF7F40"/>
    <w:rsid w:val="00F04569"/>
    <w:rsid w:val="00F1158E"/>
    <w:rsid w:val="00F12327"/>
    <w:rsid w:val="00F129FB"/>
    <w:rsid w:val="00F12F28"/>
    <w:rsid w:val="00F2052F"/>
    <w:rsid w:val="00F24AD6"/>
    <w:rsid w:val="00F271B3"/>
    <w:rsid w:val="00F30A6B"/>
    <w:rsid w:val="00F30F4E"/>
    <w:rsid w:val="00F357A9"/>
    <w:rsid w:val="00F36A49"/>
    <w:rsid w:val="00F40656"/>
    <w:rsid w:val="00F434C2"/>
    <w:rsid w:val="00F4787F"/>
    <w:rsid w:val="00F47C62"/>
    <w:rsid w:val="00F55B1E"/>
    <w:rsid w:val="00F55F1D"/>
    <w:rsid w:val="00F5629E"/>
    <w:rsid w:val="00F61183"/>
    <w:rsid w:val="00F6172A"/>
    <w:rsid w:val="00F65EDF"/>
    <w:rsid w:val="00F73359"/>
    <w:rsid w:val="00F73ACC"/>
    <w:rsid w:val="00F73FFF"/>
    <w:rsid w:val="00F7421E"/>
    <w:rsid w:val="00F77019"/>
    <w:rsid w:val="00F770F0"/>
    <w:rsid w:val="00F8062C"/>
    <w:rsid w:val="00F83AF5"/>
    <w:rsid w:val="00F84603"/>
    <w:rsid w:val="00F86EF2"/>
    <w:rsid w:val="00F92736"/>
    <w:rsid w:val="00F96847"/>
    <w:rsid w:val="00F97816"/>
    <w:rsid w:val="00FA26E4"/>
    <w:rsid w:val="00FA7FB7"/>
    <w:rsid w:val="00FB06DB"/>
    <w:rsid w:val="00FB5055"/>
    <w:rsid w:val="00FB6EBD"/>
    <w:rsid w:val="00FC2D60"/>
    <w:rsid w:val="00FC2E17"/>
    <w:rsid w:val="00FC52A6"/>
    <w:rsid w:val="00FC58BE"/>
    <w:rsid w:val="00FC74F7"/>
    <w:rsid w:val="00FD54AD"/>
    <w:rsid w:val="00FD7517"/>
    <w:rsid w:val="00FD7F3B"/>
    <w:rsid w:val="00FE635F"/>
    <w:rsid w:val="00FF1BE2"/>
    <w:rsid w:val="00FF35D3"/>
    <w:rsid w:val="00FF4A21"/>
    <w:rsid w:val="00FF53AB"/>
    <w:rsid w:val="00FF6D50"/>
    <w:rsid w:val="00FF7D5A"/>
    <w:rsid w:val="0109374E"/>
    <w:rsid w:val="01DC2E50"/>
    <w:rsid w:val="02250A7D"/>
    <w:rsid w:val="02B756CA"/>
    <w:rsid w:val="02FB46F4"/>
    <w:rsid w:val="03455E49"/>
    <w:rsid w:val="03713E77"/>
    <w:rsid w:val="040836C2"/>
    <w:rsid w:val="047810AD"/>
    <w:rsid w:val="048916D1"/>
    <w:rsid w:val="04DD08EF"/>
    <w:rsid w:val="05442879"/>
    <w:rsid w:val="05CB37C0"/>
    <w:rsid w:val="06A61419"/>
    <w:rsid w:val="06C24821"/>
    <w:rsid w:val="07347CF8"/>
    <w:rsid w:val="075C3502"/>
    <w:rsid w:val="075E4D45"/>
    <w:rsid w:val="0766789B"/>
    <w:rsid w:val="07AB6644"/>
    <w:rsid w:val="07F01AFF"/>
    <w:rsid w:val="08390A5B"/>
    <w:rsid w:val="086D41A4"/>
    <w:rsid w:val="08900822"/>
    <w:rsid w:val="08F5466E"/>
    <w:rsid w:val="098D3068"/>
    <w:rsid w:val="09984FC2"/>
    <w:rsid w:val="0998700F"/>
    <w:rsid w:val="09B10175"/>
    <w:rsid w:val="09D4537C"/>
    <w:rsid w:val="0AD40355"/>
    <w:rsid w:val="0AF77A69"/>
    <w:rsid w:val="0B21411C"/>
    <w:rsid w:val="0B513172"/>
    <w:rsid w:val="0B9E100D"/>
    <w:rsid w:val="0BA306E3"/>
    <w:rsid w:val="0BB9605D"/>
    <w:rsid w:val="0C2B7ABB"/>
    <w:rsid w:val="0C351328"/>
    <w:rsid w:val="0C404FC3"/>
    <w:rsid w:val="0CD410F2"/>
    <w:rsid w:val="0CD82FD1"/>
    <w:rsid w:val="0D187E93"/>
    <w:rsid w:val="0D656A32"/>
    <w:rsid w:val="0DC958C6"/>
    <w:rsid w:val="0E1C4A05"/>
    <w:rsid w:val="0E5B1301"/>
    <w:rsid w:val="0E7F57F8"/>
    <w:rsid w:val="0E903882"/>
    <w:rsid w:val="0EAF57F4"/>
    <w:rsid w:val="0F46438D"/>
    <w:rsid w:val="0F687800"/>
    <w:rsid w:val="1006123C"/>
    <w:rsid w:val="10625B93"/>
    <w:rsid w:val="10BA412C"/>
    <w:rsid w:val="10EA3C6C"/>
    <w:rsid w:val="110E33A4"/>
    <w:rsid w:val="119D2786"/>
    <w:rsid w:val="11B13881"/>
    <w:rsid w:val="11D12EF5"/>
    <w:rsid w:val="12A12948"/>
    <w:rsid w:val="12B36A14"/>
    <w:rsid w:val="12D441B4"/>
    <w:rsid w:val="12F861A5"/>
    <w:rsid w:val="13032151"/>
    <w:rsid w:val="13B77021"/>
    <w:rsid w:val="140C6B4B"/>
    <w:rsid w:val="14CD3E22"/>
    <w:rsid w:val="16915BAC"/>
    <w:rsid w:val="16D63839"/>
    <w:rsid w:val="16D83B68"/>
    <w:rsid w:val="16E66B3B"/>
    <w:rsid w:val="173871F0"/>
    <w:rsid w:val="17723970"/>
    <w:rsid w:val="17BC2523"/>
    <w:rsid w:val="17C43D1D"/>
    <w:rsid w:val="17D41499"/>
    <w:rsid w:val="17F812FD"/>
    <w:rsid w:val="18295AE4"/>
    <w:rsid w:val="18452F29"/>
    <w:rsid w:val="185E383D"/>
    <w:rsid w:val="18C25866"/>
    <w:rsid w:val="18D13E7E"/>
    <w:rsid w:val="18F401A4"/>
    <w:rsid w:val="191278A2"/>
    <w:rsid w:val="193605A2"/>
    <w:rsid w:val="195962D6"/>
    <w:rsid w:val="19F6278B"/>
    <w:rsid w:val="1B207EDD"/>
    <w:rsid w:val="1B3F7F30"/>
    <w:rsid w:val="1C7A26B9"/>
    <w:rsid w:val="1CA5554A"/>
    <w:rsid w:val="1D4C50A1"/>
    <w:rsid w:val="1D4E67EB"/>
    <w:rsid w:val="1D6F092C"/>
    <w:rsid w:val="1D9663AE"/>
    <w:rsid w:val="1E122DF4"/>
    <w:rsid w:val="1E381C46"/>
    <w:rsid w:val="1EBA1B4E"/>
    <w:rsid w:val="1FAB012B"/>
    <w:rsid w:val="1FAD1E50"/>
    <w:rsid w:val="205D3D3A"/>
    <w:rsid w:val="20AA2165"/>
    <w:rsid w:val="20BA6A45"/>
    <w:rsid w:val="21086AEA"/>
    <w:rsid w:val="210C6311"/>
    <w:rsid w:val="211A2D40"/>
    <w:rsid w:val="213318FD"/>
    <w:rsid w:val="21702BC5"/>
    <w:rsid w:val="22A73821"/>
    <w:rsid w:val="22CA689C"/>
    <w:rsid w:val="234D7A78"/>
    <w:rsid w:val="238E710D"/>
    <w:rsid w:val="23EA7259"/>
    <w:rsid w:val="240E269F"/>
    <w:rsid w:val="25095B21"/>
    <w:rsid w:val="25476E29"/>
    <w:rsid w:val="260931A2"/>
    <w:rsid w:val="264D4561"/>
    <w:rsid w:val="2687281B"/>
    <w:rsid w:val="269C190C"/>
    <w:rsid w:val="26CF75B0"/>
    <w:rsid w:val="26D84E6A"/>
    <w:rsid w:val="272F1FFB"/>
    <w:rsid w:val="27426374"/>
    <w:rsid w:val="278E44D5"/>
    <w:rsid w:val="279070E1"/>
    <w:rsid w:val="27CA5B2F"/>
    <w:rsid w:val="27CC78B3"/>
    <w:rsid w:val="27E81679"/>
    <w:rsid w:val="27EE254C"/>
    <w:rsid w:val="281D7A8D"/>
    <w:rsid w:val="285D1E12"/>
    <w:rsid w:val="287D6F1E"/>
    <w:rsid w:val="288B407F"/>
    <w:rsid w:val="289126C4"/>
    <w:rsid w:val="28B40ED0"/>
    <w:rsid w:val="28FA1AF0"/>
    <w:rsid w:val="294454C0"/>
    <w:rsid w:val="29904303"/>
    <w:rsid w:val="29A0483D"/>
    <w:rsid w:val="29B740D8"/>
    <w:rsid w:val="29E62503"/>
    <w:rsid w:val="2A11426E"/>
    <w:rsid w:val="2A432EB0"/>
    <w:rsid w:val="2A7514A0"/>
    <w:rsid w:val="2A944BB8"/>
    <w:rsid w:val="2AD226A7"/>
    <w:rsid w:val="2AFB3055"/>
    <w:rsid w:val="2B110B5B"/>
    <w:rsid w:val="2B537854"/>
    <w:rsid w:val="2C0E1AD8"/>
    <w:rsid w:val="2CA8720D"/>
    <w:rsid w:val="2D496961"/>
    <w:rsid w:val="2D561F45"/>
    <w:rsid w:val="2D643A67"/>
    <w:rsid w:val="2D6C0BE8"/>
    <w:rsid w:val="2D8A2A9C"/>
    <w:rsid w:val="2DCC6BE9"/>
    <w:rsid w:val="2DD3102D"/>
    <w:rsid w:val="2E152A45"/>
    <w:rsid w:val="2E79621B"/>
    <w:rsid w:val="2ED9051D"/>
    <w:rsid w:val="2F222B22"/>
    <w:rsid w:val="2F453FA3"/>
    <w:rsid w:val="2FB45424"/>
    <w:rsid w:val="2FCD5B00"/>
    <w:rsid w:val="30183238"/>
    <w:rsid w:val="306E196E"/>
    <w:rsid w:val="307C63F3"/>
    <w:rsid w:val="30D66A38"/>
    <w:rsid w:val="30EC2051"/>
    <w:rsid w:val="312774F2"/>
    <w:rsid w:val="313D5D0E"/>
    <w:rsid w:val="31472961"/>
    <w:rsid w:val="31C66382"/>
    <w:rsid w:val="32686D5F"/>
    <w:rsid w:val="328B13B6"/>
    <w:rsid w:val="32A86849"/>
    <w:rsid w:val="32A97EB3"/>
    <w:rsid w:val="32AE466E"/>
    <w:rsid w:val="32EE1663"/>
    <w:rsid w:val="33202CF2"/>
    <w:rsid w:val="33391623"/>
    <w:rsid w:val="3363380A"/>
    <w:rsid w:val="33733816"/>
    <w:rsid w:val="33D3009C"/>
    <w:rsid w:val="33F94462"/>
    <w:rsid w:val="341E6523"/>
    <w:rsid w:val="344A131A"/>
    <w:rsid w:val="349C0A4E"/>
    <w:rsid w:val="34CB2450"/>
    <w:rsid w:val="35DD6258"/>
    <w:rsid w:val="35DF5471"/>
    <w:rsid w:val="35EA137D"/>
    <w:rsid w:val="36124B5B"/>
    <w:rsid w:val="36926773"/>
    <w:rsid w:val="36B464C4"/>
    <w:rsid w:val="37935239"/>
    <w:rsid w:val="37D72B64"/>
    <w:rsid w:val="382945C0"/>
    <w:rsid w:val="384760A9"/>
    <w:rsid w:val="3869550C"/>
    <w:rsid w:val="38717B47"/>
    <w:rsid w:val="38A06B8B"/>
    <w:rsid w:val="38BD2F07"/>
    <w:rsid w:val="38C7533A"/>
    <w:rsid w:val="391350E7"/>
    <w:rsid w:val="391732CF"/>
    <w:rsid w:val="3917395B"/>
    <w:rsid w:val="3923359A"/>
    <w:rsid w:val="393629CC"/>
    <w:rsid w:val="39784A38"/>
    <w:rsid w:val="3A1C124A"/>
    <w:rsid w:val="3A1F6385"/>
    <w:rsid w:val="3A410E34"/>
    <w:rsid w:val="3A45053A"/>
    <w:rsid w:val="3A4F2EB0"/>
    <w:rsid w:val="3A9B289E"/>
    <w:rsid w:val="3AD029F0"/>
    <w:rsid w:val="3B0C73FA"/>
    <w:rsid w:val="3B253A44"/>
    <w:rsid w:val="3B372063"/>
    <w:rsid w:val="3B5D3BE3"/>
    <w:rsid w:val="3B651683"/>
    <w:rsid w:val="3B6664B2"/>
    <w:rsid w:val="3BEB370F"/>
    <w:rsid w:val="3BF51696"/>
    <w:rsid w:val="3BF76AF5"/>
    <w:rsid w:val="3C156367"/>
    <w:rsid w:val="3C8F1F78"/>
    <w:rsid w:val="3D6E6DF5"/>
    <w:rsid w:val="3E490FC8"/>
    <w:rsid w:val="3ED737B1"/>
    <w:rsid w:val="3F004BC2"/>
    <w:rsid w:val="3F0722F5"/>
    <w:rsid w:val="3F0F69A7"/>
    <w:rsid w:val="3F756735"/>
    <w:rsid w:val="3F870873"/>
    <w:rsid w:val="3FD45635"/>
    <w:rsid w:val="40544D77"/>
    <w:rsid w:val="40A53694"/>
    <w:rsid w:val="40E76950"/>
    <w:rsid w:val="41063F31"/>
    <w:rsid w:val="41482202"/>
    <w:rsid w:val="42016517"/>
    <w:rsid w:val="4204116A"/>
    <w:rsid w:val="432F221B"/>
    <w:rsid w:val="43B432EB"/>
    <w:rsid w:val="43C87250"/>
    <w:rsid w:val="44BB2F6D"/>
    <w:rsid w:val="44BC27F4"/>
    <w:rsid w:val="453A2935"/>
    <w:rsid w:val="45CF7664"/>
    <w:rsid w:val="460E3D2A"/>
    <w:rsid w:val="46713E9E"/>
    <w:rsid w:val="469612FB"/>
    <w:rsid w:val="46BF2869"/>
    <w:rsid w:val="47014D78"/>
    <w:rsid w:val="47135A1B"/>
    <w:rsid w:val="472D4AA5"/>
    <w:rsid w:val="47F063A8"/>
    <w:rsid w:val="481F4FC7"/>
    <w:rsid w:val="484F1F84"/>
    <w:rsid w:val="48536E0A"/>
    <w:rsid w:val="4896690E"/>
    <w:rsid w:val="48C31BCD"/>
    <w:rsid w:val="491563C6"/>
    <w:rsid w:val="49513CE0"/>
    <w:rsid w:val="49773CC2"/>
    <w:rsid w:val="49D31F50"/>
    <w:rsid w:val="4ABC039C"/>
    <w:rsid w:val="4ACA6023"/>
    <w:rsid w:val="4B165307"/>
    <w:rsid w:val="4C1A7DE8"/>
    <w:rsid w:val="4CD12C24"/>
    <w:rsid w:val="4CDB33B4"/>
    <w:rsid w:val="4CE410F8"/>
    <w:rsid w:val="4D2D4BB9"/>
    <w:rsid w:val="4D2E0FCF"/>
    <w:rsid w:val="4D645278"/>
    <w:rsid w:val="4DAD632B"/>
    <w:rsid w:val="4DC10581"/>
    <w:rsid w:val="4DDB2A9C"/>
    <w:rsid w:val="4E0106E8"/>
    <w:rsid w:val="4E0D77B1"/>
    <w:rsid w:val="4E2D7F5B"/>
    <w:rsid w:val="4E3D26A5"/>
    <w:rsid w:val="4E521AF7"/>
    <w:rsid w:val="4EE82676"/>
    <w:rsid w:val="50474A32"/>
    <w:rsid w:val="504D7964"/>
    <w:rsid w:val="50845935"/>
    <w:rsid w:val="51055C0D"/>
    <w:rsid w:val="512F2300"/>
    <w:rsid w:val="51345355"/>
    <w:rsid w:val="514A27E3"/>
    <w:rsid w:val="51523218"/>
    <w:rsid w:val="5182100D"/>
    <w:rsid w:val="52A919BE"/>
    <w:rsid w:val="53557CA7"/>
    <w:rsid w:val="535C3D92"/>
    <w:rsid w:val="53875563"/>
    <w:rsid w:val="543F02FC"/>
    <w:rsid w:val="54AA0583"/>
    <w:rsid w:val="54B07DC6"/>
    <w:rsid w:val="54E2149F"/>
    <w:rsid w:val="55405E65"/>
    <w:rsid w:val="55E90E88"/>
    <w:rsid w:val="56025B61"/>
    <w:rsid w:val="56073D79"/>
    <w:rsid w:val="57030D1B"/>
    <w:rsid w:val="57040E56"/>
    <w:rsid w:val="576D45B1"/>
    <w:rsid w:val="577237D5"/>
    <w:rsid w:val="57DF421C"/>
    <w:rsid w:val="57F67AFE"/>
    <w:rsid w:val="580949ED"/>
    <w:rsid w:val="58220BFA"/>
    <w:rsid w:val="585F7FFA"/>
    <w:rsid w:val="589A1D82"/>
    <w:rsid w:val="58F178B8"/>
    <w:rsid w:val="58F74EFD"/>
    <w:rsid w:val="58FC76AB"/>
    <w:rsid w:val="590B0983"/>
    <w:rsid w:val="5958190C"/>
    <w:rsid w:val="59D52CC2"/>
    <w:rsid w:val="5A0347F1"/>
    <w:rsid w:val="5A054FD9"/>
    <w:rsid w:val="5A787908"/>
    <w:rsid w:val="5A892879"/>
    <w:rsid w:val="5AA16C83"/>
    <w:rsid w:val="5B375656"/>
    <w:rsid w:val="5B663DCE"/>
    <w:rsid w:val="5BA31E28"/>
    <w:rsid w:val="5BA34D25"/>
    <w:rsid w:val="5BC06155"/>
    <w:rsid w:val="5BE86D66"/>
    <w:rsid w:val="5BF076BD"/>
    <w:rsid w:val="5C0C2047"/>
    <w:rsid w:val="5C56080F"/>
    <w:rsid w:val="5C622A94"/>
    <w:rsid w:val="5CB94495"/>
    <w:rsid w:val="5CCD59F3"/>
    <w:rsid w:val="5CEA6E4C"/>
    <w:rsid w:val="5D157C1B"/>
    <w:rsid w:val="5D22715F"/>
    <w:rsid w:val="5D51388C"/>
    <w:rsid w:val="5D74159F"/>
    <w:rsid w:val="5DC654EC"/>
    <w:rsid w:val="5E496B85"/>
    <w:rsid w:val="5ECD4AD6"/>
    <w:rsid w:val="5F01441D"/>
    <w:rsid w:val="5F5671BF"/>
    <w:rsid w:val="5FE105E7"/>
    <w:rsid w:val="60C81D86"/>
    <w:rsid w:val="618515B0"/>
    <w:rsid w:val="61A8421B"/>
    <w:rsid w:val="61F650A5"/>
    <w:rsid w:val="626752AD"/>
    <w:rsid w:val="62D67B44"/>
    <w:rsid w:val="63342493"/>
    <w:rsid w:val="63B33809"/>
    <w:rsid w:val="63F617BF"/>
    <w:rsid w:val="65070508"/>
    <w:rsid w:val="65155E27"/>
    <w:rsid w:val="65393620"/>
    <w:rsid w:val="654D43B1"/>
    <w:rsid w:val="658778E4"/>
    <w:rsid w:val="65DF6F84"/>
    <w:rsid w:val="663276C5"/>
    <w:rsid w:val="66A81684"/>
    <w:rsid w:val="66BF5EFB"/>
    <w:rsid w:val="671B0B62"/>
    <w:rsid w:val="675A4D11"/>
    <w:rsid w:val="675B2568"/>
    <w:rsid w:val="6795311E"/>
    <w:rsid w:val="67A60E8F"/>
    <w:rsid w:val="67B66FFC"/>
    <w:rsid w:val="6819630B"/>
    <w:rsid w:val="68375B3C"/>
    <w:rsid w:val="68B56FA7"/>
    <w:rsid w:val="68B75DBD"/>
    <w:rsid w:val="68FE62C0"/>
    <w:rsid w:val="693B3FB3"/>
    <w:rsid w:val="69522F96"/>
    <w:rsid w:val="6973645D"/>
    <w:rsid w:val="69A37325"/>
    <w:rsid w:val="69C01573"/>
    <w:rsid w:val="69D416B7"/>
    <w:rsid w:val="69DC7355"/>
    <w:rsid w:val="6A8B0F52"/>
    <w:rsid w:val="6AAD18BD"/>
    <w:rsid w:val="6AC01024"/>
    <w:rsid w:val="6ADE6E06"/>
    <w:rsid w:val="6B72046D"/>
    <w:rsid w:val="6B9F56F2"/>
    <w:rsid w:val="6C4F1850"/>
    <w:rsid w:val="6C5E11D3"/>
    <w:rsid w:val="6C883F8C"/>
    <w:rsid w:val="6CA271BD"/>
    <w:rsid w:val="6CF129E8"/>
    <w:rsid w:val="6D1F2C0B"/>
    <w:rsid w:val="6E001CAD"/>
    <w:rsid w:val="6E252992"/>
    <w:rsid w:val="6E2D27DE"/>
    <w:rsid w:val="6E383314"/>
    <w:rsid w:val="6EC5704F"/>
    <w:rsid w:val="6FA13AF7"/>
    <w:rsid w:val="6FB37093"/>
    <w:rsid w:val="6FED0737"/>
    <w:rsid w:val="6FF0710F"/>
    <w:rsid w:val="6FF07A13"/>
    <w:rsid w:val="709F453E"/>
    <w:rsid w:val="70B435B0"/>
    <w:rsid w:val="710004DD"/>
    <w:rsid w:val="711F33B4"/>
    <w:rsid w:val="716E284A"/>
    <w:rsid w:val="717210AC"/>
    <w:rsid w:val="71C11D4F"/>
    <w:rsid w:val="72067224"/>
    <w:rsid w:val="7213771D"/>
    <w:rsid w:val="7257693B"/>
    <w:rsid w:val="726726FA"/>
    <w:rsid w:val="729D2EE7"/>
    <w:rsid w:val="72C0405D"/>
    <w:rsid w:val="7310264D"/>
    <w:rsid w:val="73CA6314"/>
    <w:rsid w:val="73EF2E52"/>
    <w:rsid w:val="750B5766"/>
    <w:rsid w:val="75CA778B"/>
    <w:rsid w:val="75D12BEB"/>
    <w:rsid w:val="75F220B3"/>
    <w:rsid w:val="76191E97"/>
    <w:rsid w:val="764A65AB"/>
    <w:rsid w:val="76563AD3"/>
    <w:rsid w:val="766B03EC"/>
    <w:rsid w:val="76AF262F"/>
    <w:rsid w:val="76E47F58"/>
    <w:rsid w:val="76E73C66"/>
    <w:rsid w:val="773940F0"/>
    <w:rsid w:val="7758725F"/>
    <w:rsid w:val="77A8238A"/>
    <w:rsid w:val="78EC629D"/>
    <w:rsid w:val="799F5A25"/>
    <w:rsid w:val="7A702B47"/>
    <w:rsid w:val="7AB4045A"/>
    <w:rsid w:val="7AEF6954"/>
    <w:rsid w:val="7B8C6ACB"/>
    <w:rsid w:val="7B987631"/>
    <w:rsid w:val="7BB97E1A"/>
    <w:rsid w:val="7BFE3FCD"/>
    <w:rsid w:val="7C514D0E"/>
    <w:rsid w:val="7C7717F0"/>
    <w:rsid w:val="7CAD16EB"/>
    <w:rsid w:val="7DC01CEE"/>
    <w:rsid w:val="7E081D3E"/>
    <w:rsid w:val="7E127A40"/>
    <w:rsid w:val="7E7D335F"/>
    <w:rsid w:val="7E8310CC"/>
    <w:rsid w:val="7EF55CF3"/>
    <w:rsid w:val="7F0058D5"/>
    <w:rsid w:val="7F31625A"/>
    <w:rsid w:val="7F317A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ascii="Calibri" w:hAnsi="Calibri" w:eastAsia="宋体" w:cs="Times New Roman"/>
      <w:kern w:val="2"/>
      <w:sz w:val="28"/>
      <w:szCs w:val="24"/>
      <w:lang w:val="en-US" w:eastAsia="zh-CN" w:bidi="ar-SA"/>
    </w:rPr>
  </w:style>
  <w:style w:type="paragraph" w:styleId="2">
    <w:name w:val="heading 1"/>
    <w:basedOn w:val="1"/>
    <w:next w:val="1"/>
    <w:qFormat/>
    <w:uiPriority w:val="9"/>
    <w:pPr>
      <w:keepNext/>
      <w:keepLines/>
      <w:spacing w:before="120" w:after="240"/>
      <w:ind w:firstLine="0" w:firstLineChars="0"/>
      <w:jc w:val="center"/>
      <w:outlineLvl w:val="0"/>
    </w:pPr>
    <w:rPr>
      <w:b/>
      <w:bCs/>
      <w:kern w:val="44"/>
      <w:sz w:val="36"/>
      <w:szCs w:val="44"/>
    </w:rPr>
  </w:style>
  <w:style w:type="paragraph" w:styleId="3">
    <w:name w:val="heading 2"/>
    <w:basedOn w:val="1"/>
    <w:next w:val="1"/>
    <w:link w:val="35"/>
    <w:qFormat/>
    <w:uiPriority w:val="9"/>
    <w:pPr>
      <w:keepNext/>
      <w:keepLines/>
      <w:spacing w:before="120" w:after="120"/>
      <w:ind w:firstLine="1040"/>
      <w:jc w:val="left"/>
      <w:outlineLvl w:val="1"/>
    </w:pPr>
    <w:rPr>
      <w:rFonts w:ascii="微软雅黑" w:hAnsi="微软雅黑"/>
      <w:b/>
      <w:bCs/>
      <w:sz w:val="32"/>
      <w:szCs w:val="32"/>
    </w:rPr>
  </w:style>
  <w:style w:type="paragraph" w:styleId="4">
    <w:name w:val="heading 3"/>
    <w:basedOn w:val="1"/>
    <w:next w:val="1"/>
    <w:link w:val="33"/>
    <w:qFormat/>
    <w:uiPriority w:val="9"/>
    <w:pPr>
      <w:keepNext/>
      <w:keepLines/>
      <w:spacing w:before="50" w:beforeLines="50" w:after="50" w:afterLines="50"/>
      <w:ind w:firstLine="150" w:firstLineChars="150"/>
      <w:jc w:val="left"/>
      <w:outlineLvl w:val="2"/>
    </w:pPr>
    <w:rPr>
      <w:rFonts w:cs="Calibri"/>
      <w:b/>
      <w:bCs/>
      <w:sz w:val="30"/>
      <w:szCs w:val="32"/>
    </w:rPr>
  </w:style>
  <w:style w:type="paragraph" w:styleId="5">
    <w:name w:val="heading 4"/>
    <w:basedOn w:val="1"/>
    <w:next w:val="1"/>
    <w:qFormat/>
    <w:uiPriority w:val="9"/>
    <w:pPr>
      <w:keepNext/>
      <w:keepLines/>
      <w:spacing w:before="120" w:after="120"/>
      <w:jc w:val="left"/>
      <w:outlineLvl w:val="3"/>
    </w:pPr>
    <w:rPr>
      <w:rFonts w:ascii="Cambria" w:hAnsi="Cambria"/>
      <w:b/>
      <w:bCs/>
      <w:szCs w:val="28"/>
    </w:rPr>
  </w:style>
  <w:style w:type="character" w:default="1" w:styleId="17">
    <w:name w:val="Default Paragraph Font"/>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29"/>
    <w:qFormat/>
    <w:uiPriority w:val="0"/>
    <w:pPr>
      <w:ind w:firstLine="0" w:firstLineChars="0"/>
      <w:jc w:val="left"/>
    </w:pPr>
    <w:rPr>
      <w:sz w:val="24"/>
    </w:rPr>
  </w:style>
  <w:style w:type="paragraph" w:styleId="7">
    <w:name w:val="Balloon Text"/>
    <w:basedOn w:val="1"/>
    <w:link w:val="28"/>
    <w:qFormat/>
    <w:uiPriority w:val="0"/>
    <w:rPr>
      <w:sz w:val="18"/>
      <w:szCs w:val="18"/>
    </w:rPr>
  </w:style>
  <w:style w:type="paragraph" w:styleId="8">
    <w:name w:val="footer"/>
    <w:basedOn w:val="1"/>
    <w:link w:val="34"/>
    <w:unhideWhenUsed/>
    <w:qFormat/>
    <w:uiPriority w:val="99"/>
    <w:pPr>
      <w:tabs>
        <w:tab w:val="center" w:pos="4153"/>
        <w:tab w:val="right" w:pos="8306"/>
      </w:tabs>
      <w:snapToGrid w:val="0"/>
      <w:jc w:val="left"/>
    </w:pPr>
    <w:rPr>
      <w:sz w:val="18"/>
      <w:szCs w:val="18"/>
    </w:rPr>
  </w:style>
  <w:style w:type="paragraph" w:styleId="9">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spacing w:before="120" w:after="120"/>
      <w:jc w:val="left"/>
    </w:pPr>
    <w:rPr>
      <w:b/>
      <w:bCs/>
      <w:caps/>
      <w:sz w:val="20"/>
      <w:szCs w:val="20"/>
    </w:rPr>
  </w:style>
  <w:style w:type="paragraph" w:styleId="11">
    <w:name w:val="toc 2"/>
    <w:basedOn w:val="1"/>
    <w:next w:val="1"/>
    <w:unhideWhenUsed/>
    <w:qFormat/>
    <w:uiPriority w:val="39"/>
    <w:pPr>
      <w:ind w:left="280"/>
      <w:jc w:val="left"/>
    </w:pPr>
    <w:rPr>
      <w:smallCaps/>
      <w:sz w:val="20"/>
      <w:szCs w:val="20"/>
    </w:rPr>
  </w:style>
  <w:style w:type="paragraph" w:styleId="12">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13">
    <w:name w:val="Normal (Web)"/>
    <w:basedOn w:val="1"/>
    <w:qFormat/>
    <w:uiPriority w:val="99"/>
    <w:pPr>
      <w:spacing w:beforeAutospacing="1" w:afterAutospacing="1"/>
      <w:ind w:firstLine="0" w:firstLineChars="0"/>
      <w:jc w:val="left"/>
    </w:pPr>
    <w:rPr>
      <w:kern w:val="0"/>
      <w:sz w:val="24"/>
    </w:rPr>
  </w:style>
  <w:style w:type="paragraph" w:styleId="14">
    <w:name w:val="annotation subject"/>
    <w:basedOn w:val="6"/>
    <w:next w:val="6"/>
    <w:link w:val="30"/>
    <w:qFormat/>
    <w:uiPriority w:val="0"/>
    <w:rPr>
      <w:b/>
      <w:bCs/>
    </w:rPr>
  </w:style>
  <w:style w:type="table" w:styleId="16">
    <w:name w:val="Table Grid"/>
    <w:basedOn w:val="15"/>
    <w:qFormat/>
    <w:uiPriority w:val="39"/>
    <w:rPr>
      <w:rFonts w:ascii="Calibri" w:hAnsi="Calibri" w:eastAsia="Times New Roman" w:cs="宋体"/>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Strong"/>
    <w:qFormat/>
    <w:uiPriority w:val="22"/>
    <w:rPr>
      <w:b/>
      <w:bCs/>
    </w:rPr>
  </w:style>
  <w:style w:type="character" w:styleId="19">
    <w:name w:val="FollowedHyperlink"/>
    <w:basedOn w:val="17"/>
    <w:qFormat/>
    <w:uiPriority w:val="0"/>
    <w:rPr>
      <w:color w:val="262626"/>
      <w:u w:val="none"/>
    </w:rPr>
  </w:style>
  <w:style w:type="character" w:styleId="20">
    <w:name w:val="Hyperlink"/>
    <w:basedOn w:val="17"/>
    <w:unhideWhenUsed/>
    <w:qFormat/>
    <w:uiPriority w:val="99"/>
    <w:rPr>
      <w:color w:val="0000FF"/>
      <w:u w:val="single"/>
    </w:rPr>
  </w:style>
  <w:style w:type="character" w:styleId="21">
    <w:name w:val="annotation reference"/>
    <w:qFormat/>
    <w:uiPriority w:val="0"/>
    <w:rPr>
      <w:sz w:val="21"/>
      <w:szCs w:val="21"/>
    </w:rPr>
  </w:style>
  <w:style w:type="character" w:customStyle="1" w:styleId="22">
    <w:name w:val="标题 2 Char"/>
    <w:qFormat/>
    <w:uiPriority w:val="9"/>
    <w:rPr>
      <w:rFonts w:ascii="微软雅黑" w:hAnsi="微软雅黑"/>
      <w:b/>
      <w:bCs/>
      <w:kern w:val="2"/>
      <w:sz w:val="32"/>
      <w:szCs w:val="32"/>
    </w:rPr>
  </w:style>
  <w:style w:type="paragraph" w:customStyle="1" w:styleId="23">
    <w:name w:val="Default"/>
    <w:qFormat/>
    <w:uiPriority w:val="0"/>
    <w:pPr>
      <w:widowControl w:val="0"/>
      <w:autoSpaceDE w:val="0"/>
      <w:autoSpaceDN w:val="0"/>
      <w:adjustRightInd w:val="0"/>
    </w:pPr>
    <w:rPr>
      <w:rFonts w:ascii="微软雅黑" w:hAnsi="Times New Roman" w:eastAsia="微软雅黑" w:cs="微软雅黑"/>
      <w:color w:val="000000"/>
      <w:sz w:val="24"/>
      <w:szCs w:val="24"/>
      <w:lang w:val="en-US" w:eastAsia="zh-CN" w:bidi="ar-SA"/>
    </w:rPr>
  </w:style>
  <w:style w:type="character" w:customStyle="1" w:styleId="24">
    <w:name w:val="description"/>
    <w:qFormat/>
    <w:uiPriority w:val="0"/>
  </w:style>
  <w:style w:type="paragraph" w:customStyle="1" w:styleId="25">
    <w:name w:val="列出段落2"/>
    <w:basedOn w:val="1"/>
    <w:qFormat/>
    <w:uiPriority w:val="34"/>
    <w:pPr>
      <w:spacing w:line="360" w:lineRule="auto"/>
      <w:ind w:firstLine="420"/>
    </w:pPr>
    <w:rPr>
      <w:szCs w:val="22"/>
    </w:rPr>
  </w:style>
  <w:style w:type="paragraph" w:customStyle="1" w:styleId="26">
    <w:name w:val="规划-5正文"/>
    <w:basedOn w:val="1"/>
    <w:link w:val="27"/>
    <w:qFormat/>
    <w:uiPriority w:val="0"/>
    <w:pPr>
      <w:spacing w:line="360" w:lineRule="auto"/>
      <w:ind w:firstLine="560"/>
    </w:pPr>
    <w:rPr>
      <w:rFonts w:ascii="Times New Roman" w:hAnsi="Times New Roman" w:eastAsia="仿宋_GB2312"/>
      <w:szCs w:val="28"/>
    </w:rPr>
  </w:style>
  <w:style w:type="character" w:customStyle="1" w:styleId="27">
    <w:name w:val="规划-5正文 Char"/>
    <w:link w:val="26"/>
    <w:qFormat/>
    <w:uiPriority w:val="0"/>
    <w:rPr>
      <w:rFonts w:eastAsia="仿宋_GB2312"/>
      <w:kern w:val="2"/>
      <w:sz w:val="28"/>
      <w:szCs w:val="28"/>
    </w:rPr>
  </w:style>
  <w:style w:type="character" w:customStyle="1" w:styleId="28">
    <w:name w:val="批注框文本 Char"/>
    <w:link w:val="7"/>
    <w:qFormat/>
    <w:uiPriority w:val="0"/>
    <w:rPr>
      <w:rFonts w:ascii="Calibri" w:hAnsi="Calibri"/>
      <w:kern w:val="2"/>
      <w:sz w:val="18"/>
      <w:szCs w:val="18"/>
    </w:rPr>
  </w:style>
  <w:style w:type="character" w:customStyle="1" w:styleId="29">
    <w:name w:val="批注文字 Char"/>
    <w:link w:val="6"/>
    <w:qFormat/>
    <w:uiPriority w:val="0"/>
    <w:rPr>
      <w:rFonts w:ascii="Calibri" w:hAnsi="Calibri" w:eastAsia="宋体"/>
      <w:kern w:val="2"/>
      <w:sz w:val="24"/>
      <w:szCs w:val="24"/>
    </w:rPr>
  </w:style>
  <w:style w:type="character" w:customStyle="1" w:styleId="30">
    <w:name w:val="批注主题 Char"/>
    <w:link w:val="14"/>
    <w:qFormat/>
    <w:uiPriority w:val="0"/>
    <w:rPr>
      <w:rFonts w:ascii="Calibri" w:hAnsi="Calibri"/>
      <w:b/>
      <w:bCs/>
      <w:kern w:val="2"/>
      <w:sz w:val="28"/>
      <w:szCs w:val="24"/>
    </w:rPr>
  </w:style>
  <w:style w:type="paragraph" w:styleId="31">
    <w:name w:val="List Paragraph"/>
    <w:basedOn w:val="1"/>
    <w:qFormat/>
    <w:uiPriority w:val="34"/>
    <w:pPr>
      <w:ind w:firstLine="420"/>
    </w:pPr>
  </w:style>
  <w:style w:type="paragraph" w:customStyle="1" w:styleId="32">
    <w:name w:val="p0"/>
    <w:basedOn w:val="1"/>
    <w:qFormat/>
    <w:uiPriority w:val="0"/>
    <w:pPr>
      <w:widowControl/>
      <w:ind w:firstLine="0" w:firstLineChars="0"/>
    </w:pPr>
    <w:rPr>
      <w:kern w:val="0"/>
      <w:sz w:val="21"/>
      <w:szCs w:val="21"/>
    </w:rPr>
  </w:style>
  <w:style w:type="character" w:customStyle="1" w:styleId="33">
    <w:name w:val="标题 3 Char"/>
    <w:link w:val="4"/>
    <w:qFormat/>
    <w:uiPriority w:val="9"/>
    <w:rPr>
      <w:rFonts w:ascii="Calibri" w:hAnsi="Calibri" w:cs="Calibri"/>
      <w:b/>
      <w:bCs/>
      <w:kern w:val="2"/>
      <w:sz w:val="30"/>
      <w:szCs w:val="32"/>
    </w:rPr>
  </w:style>
  <w:style w:type="character" w:customStyle="1" w:styleId="34">
    <w:name w:val="页脚 Char"/>
    <w:basedOn w:val="17"/>
    <w:link w:val="8"/>
    <w:qFormat/>
    <w:uiPriority w:val="99"/>
    <w:rPr>
      <w:rFonts w:ascii="Calibri" w:hAnsi="Calibri"/>
      <w:kern w:val="2"/>
      <w:sz w:val="18"/>
      <w:szCs w:val="18"/>
    </w:rPr>
  </w:style>
  <w:style w:type="character" w:customStyle="1" w:styleId="35">
    <w:name w:val="标题 2 Char1"/>
    <w:link w:val="3"/>
    <w:qFormat/>
    <w:uiPriority w:val="9"/>
    <w:rPr>
      <w:rFonts w:ascii="微软雅黑" w:hAnsi="微软雅黑" w:eastAsia="宋体"/>
      <w:b/>
      <w:bCs/>
      <w:sz w:val="30"/>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29.jpeg"/><Relationship Id="rId48" Type="http://schemas.openxmlformats.org/officeDocument/2006/relationships/image" Target="media/image28.jpeg"/><Relationship Id="rId47" Type="http://schemas.openxmlformats.org/officeDocument/2006/relationships/image" Target="media/image27.jpeg"/><Relationship Id="rId46" Type="http://schemas.openxmlformats.org/officeDocument/2006/relationships/image" Target="media/image26.jpeg"/><Relationship Id="rId45" Type="http://schemas.openxmlformats.org/officeDocument/2006/relationships/image" Target="media/image25.jpeg"/><Relationship Id="rId44" Type="http://schemas.openxmlformats.org/officeDocument/2006/relationships/image" Target="media/image24.jpeg"/><Relationship Id="rId43" Type="http://schemas.openxmlformats.org/officeDocument/2006/relationships/image" Target="media/image23.jpeg"/><Relationship Id="rId42" Type="http://schemas.openxmlformats.org/officeDocument/2006/relationships/image" Target="media/image22.jpeg"/><Relationship Id="rId41" Type="http://schemas.openxmlformats.org/officeDocument/2006/relationships/image" Target="media/image21.jpeg"/><Relationship Id="rId40" Type="http://schemas.openxmlformats.org/officeDocument/2006/relationships/image" Target="media/image20.jpeg"/><Relationship Id="rId4" Type="http://schemas.openxmlformats.org/officeDocument/2006/relationships/endnotes" Target="endnotes.xml"/><Relationship Id="rId39" Type="http://schemas.openxmlformats.org/officeDocument/2006/relationships/image" Target="media/image19.jpeg"/><Relationship Id="rId38" Type="http://schemas.openxmlformats.org/officeDocument/2006/relationships/image" Target="media/image18.jpeg"/><Relationship Id="rId37" Type="http://schemas.openxmlformats.org/officeDocument/2006/relationships/image" Target="media/image17.jpeg"/><Relationship Id="rId36" Type="http://schemas.openxmlformats.org/officeDocument/2006/relationships/image" Target="media/image16.jpeg"/><Relationship Id="rId35" Type="http://schemas.openxmlformats.org/officeDocument/2006/relationships/image" Target="media/image15.jpeg"/><Relationship Id="rId34" Type="http://schemas.openxmlformats.org/officeDocument/2006/relationships/image" Target="media/image14.jpeg"/><Relationship Id="rId33" Type="http://schemas.openxmlformats.org/officeDocument/2006/relationships/image" Target="media/image13.jpeg"/><Relationship Id="rId32" Type="http://schemas.openxmlformats.org/officeDocument/2006/relationships/image" Target="media/image12.jpeg"/><Relationship Id="rId31" Type="http://schemas.openxmlformats.org/officeDocument/2006/relationships/image" Target="media/image11.jpeg"/><Relationship Id="rId30" Type="http://schemas.microsoft.com/office/2007/relationships/hdphoto" Target="media/image10.wdp"/><Relationship Id="rId3" Type="http://schemas.openxmlformats.org/officeDocument/2006/relationships/footnotes" Target="footnotes.xml"/><Relationship Id="rId29" Type="http://schemas.openxmlformats.org/officeDocument/2006/relationships/image" Target="media/image9.png"/><Relationship Id="rId28" Type="http://schemas.openxmlformats.org/officeDocument/2006/relationships/image" Target="media/image8.jpeg"/><Relationship Id="rId27" Type="http://schemas.openxmlformats.org/officeDocument/2006/relationships/chart" Target="charts/chart3.xml"/><Relationship Id="rId26" Type="http://schemas.openxmlformats.org/officeDocument/2006/relationships/chart" Target="charts/chart2.xml"/><Relationship Id="rId25" Type="http://schemas.openxmlformats.org/officeDocument/2006/relationships/chart" Target="charts/chart1.xml"/><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pn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theme" Target="theme/theme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系列 1</c:v>
                </c:pt>
              </c:strCache>
            </c:strRef>
          </c:tx>
          <c:spPr>
            <a:solidFill>
              <a:schemeClr val="accent1">
                <a:alpha val="70000"/>
              </a:schemeClr>
            </a:solidFill>
            <a:ln>
              <a:noFill/>
            </a:ln>
            <a:effectLst/>
          </c:spPr>
          <c:invertIfNegative val="0"/>
          <c:dLbls>
            <c:spPr>
              <a:noFill/>
              <a:ln w="26190">
                <a:noFill/>
              </a:ln>
              <a:effectLst/>
            </c:spPr>
            <c:txPr>
              <a:bodyPr rot="0" spcFirstLastPara="1" vertOverflow="ellipsis" vert="horz" wrap="square" lIns="38100" tIns="19050" rIns="38100" bIns="19050" anchor="ctr" anchorCtr="1">
                <a:spAutoFit/>
              </a:bodyPr>
              <a:lstStyle/>
              <a:p>
                <a:pPr>
                  <a:defRPr lang="zh-CN" sz="1235"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2014年</c:v>
                </c:pt>
                <c:pt idx="1">
                  <c:v>2015年</c:v>
                </c:pt>
                <c:pt idx="2">
                  <c:v>2016年</c:v>
                </c:pt>
                <c:pt idx="3">
                  <c:v>2017年</c:v>
                </c:pt>
                <c:pt idx="4">
                  <c:v>2018年</c:v>
                </c:pt>
              </c:strCache>
            </c:strRef>
          </c:cat>
          <c:val>
            <c:numRef>
              <c:f>Sheet1!$B$2:$B$6</c:f>
              <c:numCache>
                <c:formatCode>General</c:formatCode>
                <c:ptCount val="5"/>
                <c:pt idx="0">
                  <c:v>146.17</c:v>
                </c:pt>
                <c:pt idx="1">
                  <c:v>148.13</c:v>
                </c:pt>
                <c:pt idx="2">
                  <c:v>150.43</c:v>
                </c:pt>
                <c:pt idx="3">
                  <c:v>136.07</c:v>
                </c:pt>
                <c:pt idx="4">
                  <c:v>148.59</c:v>
                </c:pt>
              </c:numCache>
            </c:numRef>
          </c:val>
        </c:ser>
        <c:dLbls>
          <c:showLegendKey val="0"/>
          <c:showVal val="0"/>
          <c:showCatName val="0"/>
          <c:showSerName val="0"/>
          <c:showPercent val="0"/>
          <c:showBubbleSize val="0"/>
        </c:dLbls>
        <c:gapWidth val="80"/>
        <c:overlap val="25"/>
        <c:axId val="641573512"/>
        <c:axId val="641573904"/>
      </c:barChart>
      <c:catAx>
        <c:axId val="641573512"/>
        <c:scaling>
          <c:orientation val="minMax"/>
        </c:scaling>
        <c:delete val="0"/>
        <c:axPos val="b"/>
        <c:numFmt formatCode="General" sourceLinked="1"/>
        <c:majorTickMark val="none"/>
        <c:minorTickMark val="none"/>
        <c:tickLblPos val="nextTo"/>
        <c:spPr>
          <a:noFill/>
          <a:ln w="16368"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zh-CN" sz="1235" b="0" i="0" u="none" strike="noStrike" kern="1200" cap="none" spc="20" normalizeH="0" baseline="0">
                <a:solidFill>
                  <a:schemeClr val="tx1">
                    <a:lumMod val="65000"/>
                    <a:lumOff val="35000"/>
                  </a:schemeClr>
                </a:solidFill>
                <a:latin typeface="+mn-lt"/>
                <a:ea typeface="+mn-ea"/>
                <a:cs typeface="+mn-cs"/>
              </a:defRPr>
            </a:pPr>
          </a:p>
        </c:txPr>
        <c:crossAx val="641573904"/>
        <c:crosses val="autoZero"/>
        <c:auto val="1"/>
        <c:lblAlgn val="ctr"/>
        <c:lblOffset val="100"/>
        <c:noMultiLvlLbl val="0"/>
      </c:catAx>
      <c:valAx>
        <c:axId val="641573904"/>
        <c:scaling>
          <c:orientation val="minMax"/>
          <c:max val="180"/>
          <c:min val="0"/>
        </c:scaling>
        <c:delete val="0"/>
        <c:axPos val="l"/>
        <c:majorGridlines>
          <c:spPr>
            <a:ln w="9821" cap="flat" cmpd="sng" algn="ctr">
              <a:solidFill>
                <a:schemeClr val="tx1">
                  <a:lumMod val="5000"/>
                  <a:lumOff val="95000"/>
                </a:schemeClr>
              </a:solidFill>
              <a:prstDash val="solid"/>
              <a:round/>
            </a:ln>
            <a:effectLst/>
          </c:spPr>
        </c:majorGridlines>
        <c:numFmt formatCode="General" sourceLinked="1"/>
        <c:majorTickMark val="none"/>
        <c:minorTickMark val="none"/>
        <c:tickLblPos val="nextTo"/>
        <c:spPr>
          <a:ln w="6547" cap="flat" cmpd="sng" algn="ctr">
            <a:noFill/>
            <a:prstDash val="solid"/>
            <a:round/>
          </a:ln>
        </c:spPr>
        <c:txPr>
          <a:bodyPr rot="-60000000" spcFirstLastPara="1" vertOverflow="ellipsis" vert="horz" wrap="square" anchor="ctr" anchorCtr="1"/>
          <a:lstStyle/>
          <a:p>
            <a:pPr>
              <a:defRPr lang="zh-CN" sz="1235" b="0" i="0" u="none" strike="noStrike" kern="1200" spc="20" baseline="0">
                <a:solidFill>
                  <a:schemeClr val="tx1">
                    <a:lumMod val="65000"/>
                    <a:lumOff val="35000"/>
                  </a:schemeClr>
                </a:solidFill>
                <a:latin typeface="+mn-lt"/>
                <a:ea typeface="+mn-ea"/>
                <a:cs typeface="+mn-cs"/>
              </a:defRPr>
            </a:pPr>
          </a:p>
        </c:txPr>
        <c:crossAx val="641573512"/>
        <c:crosses val="autoZero"/>
        <c:crossBetween val="between"/>
        <c:majorUnit val="20"/>
      </c:valAx>
      <c:spPr>
        <a:noFill/>
        <a:ln w="26190">
          <a:noFill/>
        </a:ln>
      </c:spPr>
    </c:plotArea>
    <c:plotVisOnly val="1"/>
    <c:dispBlanksAs val="gap"/>
    <c:showDLblsOverMax val="0"/>
  </c:chart>
  <c:spPr>
    <a:solidFill>
      <a:sysClr val="window" lastClr="FFFFFF"/>
    </a:solidFill>
    <a:ln w="9821" cap="flat" cmpd="sng" algn="ctr">
      <a:solidFill>
        <a:sysClr val="window" lastClr="FFFFFF"/>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城镇居民人均可支配收入（元）</c:v>
                </c:pt>
              </c:strCache>
            </c:strRef>
          </c:tx>
          <c:spPr>
            <a:ln w="29372" cap="rnd" cmpd="sng" algn="ctr">
              <a:solidFill>
                <a:schemeClr val="accent1"/>
              </a:solidFill>
              <a:prstDash val="solid"/>
              <a:round/>
            </a:ln>
            <a:effectLst/>
          </c:spPr>
          <c:marker>
            <c:symbol val="none"/>
          </c:marker>
          <c:dLbls>
            <c:delete val="1"/>
          </c:dLbls>
          <c:cat>
            <c:strRef>
              <c:f>Sheet1!$A$2:$A$6</c:f>
              <c:strCache>
                <c:ptCount val="5"/>
                <c:pt idx="0">
                  <c:v>2014年</c:v>
                </c:pt>
                <c:pt idx="1">
                  <c:v>2015年</c:v>
                </c:pt>
                <c:pt idx="2">
                  <c:v>2016年</c:v>
                </c:pt>
                <c:pt idx="3">
                  <c:v>2017年</c:v>
                </c:pt>
                <c:pt idx="4">
                  <c:v>2018年</c:v>
                </c:pt>
              </c:strCache>
            </c:strRef>
          </c:cat>
          <c:val>
            <c:numRef>
              <c:f>Sheet1!$B$2:$B$6</c:f>
              <c:numCache>
                <c:formatCode>General</c:formatCode>
                <c:ptCount val="5"/>
                <c:pt idx="0">
                  <c:v>27146</c:v>
                </c:pt>
                <c:pt idx="1">
                  <c:v>29318</c:v>
                </c:pt>
                <c:pt idx="2">
                  <c:v>30671</c:v>
                </c:pt>
                <c:pt idx="3">
                  <c:v>32879</c:v>
                </c:pt>
                <c:pt idx="4">
                  <c:v>34950</c:v>
                </c:pt>
              </c:numCache>
            </c:numRef>
          </c:val>
          <c:smooth val="0"/>
        </c:ser>
        <c:ser>
          <c:idx val="1"/>
          <c:order val="1"/>
          <c:tx>
            <c:strRef>
              <c:f>Sheet1!$C$1</c:f>
              <c:strCache>
                <c:ptCount val="1"/>
                <c:pt idx="0">
                  <c:v>农村居民人均可支配收入（元）</c:v>
                </c:pt>
              </c:strCache>
            </c:strRef>
          </c:tx>
          <c:spPr>
            <a:ln w="29372" cap="rnd" cmpd="sng" algn="ctr">
              <a:solidFill>
                <a:schemeClr val="accent2"/>
              </a:solidFill>
              <a:prstDash val="solid"/>
              <a:round/>
            </a:ln>
            <a:effectLst/>
          </c:spPr>
          <c:marker>
            <c:symbol val="none"/>
          </c:marker>
          <c:dLbls>
            <c:delete val="1"/>
          </c:dLbls>
          <c:cat>
            <c:strRef>
              <c:f>Sheet1!$A$2:$A$6</c:f>
              <c:strCache>
                <c:ptCount val="5"/>
                <c:pt idx="0">
                  <c:v>2014年</c:v>
                </c:pt>
                <c:pt idx="1">
                  <c:v>2015年</c:v>
                </c:pt>
                <c:pt idx="2">
                  <c:v>2016年</c:v>
                </c:pt>
                <c:pt idx="3">
                  <c:v>2017年</c:v>
                </c:pt>
                <c:pt idx="4">
                  <c:v>2018年</c:v>
                </c:pt>
              </c:strCache>
            </c:strRef>
          </c:cat>
          <c:val>
            <c:numRef>
              <c:f>Sheet1!$C$2:$C$6</c:f>
              <c:numCache>
                <c:formatCode>General</c:formatCode>
                <c:ptCount val="5"/>
                <c:pt idx="0">
                  <c:v>11726</c:v>
                </c:pt>
                <c:pt idx="1">
                  <c:v>12852</c:v>
                </c:pt>
                <c:pt idx="2">
                  <c:v>14584</c:v>
                </c:pt>
                <c:pt idx="3">
                  <c:v>15911</c:v>
                </c:pt>
                <c:pt idx="4">
                  <c:v>17391</c:v>
                </c:pt>
              </c:numCache>
            </c:numRef>
          </c:val>
          <c:smooth val="0"/>
        </c:ser>
        <c:dLbls>
          <c:showLegendKey val="0"/>
          <c:showVal val="0"/>
          <c:showCatName val="0"/>
          <c:showSerName val="0"/>
          <c:showPercent val="0"/>
          <c:showBubbleSize val="0"/>
        </c:dLbls>
        <c:marker val="0"/>
        <c:smooth val="0"/>
        <c:axId val="641574688"/>
        <c:axId val="641575080"/>
      </c:lineChart>
      <c:catAx>
        <c:axId val="641574688"/>
        <c:scaling>
          <c:orientation val="minMax"/>
        </c:scaling>
        <c:delete val="0"/>
        <c:axPos val="b"/>
        <c:numFmt formatCode="General" sourceLinked="1"/>
        <c:majorTickMark val="none"/>
        <c:minorTickMark val="none"/>
        <c:tickLblPos val="nextTo"/>
        <c:spPr>
          <a:noFill/>
          <a:ln w="9791"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1230" b="0" i="0" u="none" strike="noStrike" kern="1200" baseline="0">
                <a:solidFill>
                  <a:schemeClr val="tx1">
                    <a:lumMod val="65000"/>
                    <a:lumOff val="35000"/>
                  </a:schemeClr>
                </a:solidFill>
                <a:latin typeface="+mn-lt"/>
                <a:ea typeface="+mn-ea"/>
                <a:cs typeface="+mn-cs"/>
              </a:defRPr>
            </a:pPr>
          </a:p>
        </c:txPr>
        <c:crossAx val="641575080"/>
        <c:crosses val="autoZero"/>
        <c:auto val="1"/>
        <c:lblAlgn val="ctr"/>
        <c:lblOffset val="100"/>
        <c:noMultiLvlLbl val="0"/>
      </c:catAx>
      <c:valAx>
        <c:axId val="641575080"/>
        <c:scaling>
          <c:orientation val="minMax"/>
        </c:scaling>
        <c:delete val="0"/>
        <c:axPos val="l"/>
        <c:majorGridlines>
          <c:spPr>
            <a:ln w="9791"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ln w="6527" cap="flat" cmpd="sng" algn="ctr">
            <a:noFill/>
            <a:prstDash val="solid"/>
            <a:round/>
          </a:ln>
        </c:spPr>
        <c:txPr>
          <a:bodyPr rot="-60000000" spcFirstLastPara="1" vertOverflow="ellipsis" vert="horz" wrap="square" anchor="ctr" anchorCtr="1"/>
          <a:lstStyle/>
          <a:p>
            <a:pPr>
              <a:defRPr lang="zh-CN" sz="1230" b="0" i="0" u="none" strike="noStrike" kern="1200" baseline="0">
                <a:solidFill>
                  <a:schemeClr val="tx1">
                    <a:lumMod val="65000"/>
                    <a:lumOff val="35000"/>
                  </a:schemeClr>
                </a:solidFill>
                <a:latin typeface="+mn-lt"/>
                <a:ea typeface="+mn-ea"/>
                <a:cs typeface="+mn-cs"/>
              </a:defRPr>
            </a:pPr>
          </a:p>
        </c:txPr>
        <c:crossAx val="641574688"/>
        <c:crosses val="autoZero"/>
        <c:crossBetween val="between"/>
      </c:valAx>
      <c:spPr>
        <a:noFill/>
        <a:ln w="26109">
          <a:noFill/>
        </a:ln>
      </c:spPr>
    </c:plotArea>
    <c:legend>
      <c:legendPos val="b"/>
      <c:layout/>
      <c:overlay val="0"/>
      <c:spPr>
        <a:noFill/>
        <a:ln w="26109">
          <a:noFill/>
        </a:ln>
      </c:spPr>
      <c:txPr>
        <a:bodyPr rot="0" spcFirstLastPara="1" vertOverflow="ellipsis" vert="horz" wrap="square" anchor="ctr" anchorCtr="1"/>
        <a:lstStyle/>
        <a:p>
          <a:pPr>
            <a:defRPr lang="zh-CN" sz="123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791" cap="flat" cmpd="sng" algn="ctr">
      <a:solidFill>
        <a:sysClr val="window" lastClr="FFFFFF"/>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销售额</c:v>
                </c:pt>
              </c:strCache>
            </c:strRef>
          </c:tx>
          <c:explosion val="0"/>
          <c:dPt>
            <c:idx val="0"/>
            <c:bubble3D val="0"/>
            <c:spPr>
              <a:solidFill>
                <a:schemeClr val="accent1"/>
              </a:solidFill>
              <a:ln w="19743">
                <a:solidFill>
                  <a:schemeClr val="lt1"/>
                </a:solidFill>
              </a:ln>
              <a:effectLst/>
            </c:spPr>
          </c:dPt>
          <c:dPt>
            <c:idx val="1"/>
            <c:bubble3D val="0"/>
            <c:spPr>
              <a:solidFill>
                <a:schemeClr val="accent2"/>
              </a:solidFill>
              <a:ln w="19743">
                <a:solidFill>
                  <a:schemeClr val="lt1"/>
                </a:solidFill>
              </a:ln>
              <a:effectLst/>
            </c:spPr>
          </c:dPt>
          <c:dPt>
            <c:idx val="2"/>
            <c:bubble3D val="0"/>
            <c:spPr>
              <a:solidFill>
                <a:schemeClr val="accent3"/>
              </a:solidFill>
              <a:ln w="19743">
                <a:solidFill>
                  <a:schemeClr val="lt1"/>
                </a:solidFill>
              </a:ln>
              <a:effectLst/>
            </c:spPr>
          </c:dPt>
          <c:dPt>
            <c:idx val="3"/>
            <c:bubble3D val="0"/>
            <c:spPr>
              <a:solidFill>
                <a:schemeClr val="accent4"/>
              </a:solidFill>
              <a:ln w="19743">
                <a:solidFill>
                  <a:schemeClr val="lt1"/>
                </a:solidFill>
              </a:ln>
              <a:effectLst/>
            </c:spPr>
          </c:dPt>
          <c:dLbls>
            <c:dLbl>
              <c:idx val="0"/>
              <c:layout>
                <c:manualLayout>
                  <c:x val="-0.135454478346457"/>
                  <c:y val="0.132065875242011"/>
                </c:manualLayout>
              </c:layout>
              <c:tx>
                <c:rich>
                  <a:bodyPr rot="0" spcFirstLastPara="1" vertOverflow="ellipsis" vert="horz" wrap="square" lIns="38100" tIns="19050" rIns="38100" bIns="19050" anchor="ctr" anchorCtr="1">
                    <a:spAutoFit/>
                  </a:bodyPr>
                  <a:lstStyle/>
                  <a:p>
                    <a:pPr>
                      <a:defRPr lang="zh-CN" sz="1450" b="1" i="0" u="none" strike="noStrike" kern="1200" baseline="0">
                        <a:solidFill>
                          <a:schemeClr val="bg1"/>
                        </a:solidFill>
                        <a:latin typeface="+mn-lt"/>
                        <a:ea typeface="+mn-ea"/>
                        <a:cs typeface="+mn-cs"/>
                      </a:defRPr>
                    </a:pPr>
                    <a:r>
                      <a:rPr lang="en-US" altLang="zh-CN" sz="1450" b="1">
                        <a:solidFill>
                          <a:schemeClr val="bg1"/>
                        </a:solidFill>
                        <a:latin typeface="+mn-ea"/>
                        <a:ea typeface="+mn-ea"/>
                      </a:rPr>
                      <a:t>26.2%</a:t>
                    </a:r>
                    <a:endParaRPr lang="en-US" altLang="zh-CN" sz="1450" b="1">
                      <a:solidFill>
                        <a:schemeClr val="bg1"/>
                      </a:solidFill>
                      <a:latin typeface="+mn-ea"/>
                      <a:ea typeface="+mn-ea"/>
                    </a:endParaRPr>
                  </a:p>
                </c:rich>
              </c:tx>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450" b="1" i="0" u="none" strike="noStrike" kern="1200" baseline="0">
                      <a:solidFill>
                        <a:schemeClr val="bg1"/>
                      </a:solidFill>
                      <a:latin typeface="+mn-lt"/>
                      <a:ea typeface="+mn-ea"/>
                      <a:cs typeface="+mn-cs"/>
                    </a:defRPr>
                  </a:pPr>
                </a:p>
              </c:txPr>
              <c:dLblPos val="bestFit"/>
              <c:showLegendKey val="0"/>
              <c:showVal val="0"/>
              <c:showCatName val="0"/>
              <c:showSerName val="0"/>
              <c:showPercent val="0"/>
              <c:showBubbleSize val="0"/>
              <c:extLst>
                <c:ext xmlns:c15="http://schemas.microsoft.com/office/drawing/2012/chart" uri="{CE6537A1-D6FC-4f65-9D91-7224C49458BB}">
                  <c15:layout/>
                </c:ext>
              </c:extLst>
            </c:dLbl>
            <c:dLbl>
              <c:idx val="1"/>
              <c:layout>
                <c:manualLayout>
                  <c:x val="-0.0956467765748032"/>
                  <c:y val="-0.185997589444046"/>
                </c:manualLayout>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450" b="1" i="0" u="none" strike="noStrike" kern="1200" baseline="0">
                      <a:solidFill>
                        <a:schemeClr val="bg1"/>
                      </a:solidFill>
                      <a:latin typeface="+mn-ea"/>
                      <a:ea typeface="+mn-ea"/>
                      <a:cs typeface="+mn-cs"/>
                    </a:defRPr>
                  </a:pPr>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51203125"/>
                  <c:y val="0.0571575998303642"/>
                </c:manualLayout>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450" b="1" i="0" u="none" strike="noStrike" kern="1200" baseline="0">
                      <a:solidFill>
                        <a:schemeClr val="bg1"/>
                      </a:solidFill>
                      <a:latin typeface="+mn-ea"/>
                      <a:ea typeface="+mn-ea"/>
                      <a:cs typeface="+mn-cs"/>
                    </a:defRPr>
                  </a:pPr>
                </a:p>
              </c:txPr>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1240" b="1" i="0" u="none" strike="noStrike" kern="1200" baseline="0">
                    <a:solidFill>
                      <a:schemeClr val="bg1"/>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871" cap="flat" cmpd="sng" algn="ctr">
                      <a:solidFill>
                        <a:schemeClr val="tx1">
                          <a:lumMod val="35000"/>
                          <a:lumOff val="65000"/>
                        </a:schemeClr>
                      </a:solidFill>
                      <a:prstDash val="solid"/>
                      <a:round/>
                    </a:ln>
                    <a:effectLst/>
                  </c:spPr>
                </c15:leaderLines>
              </c:ext>
            </c:extLst>
          </c:dLbls>
          <c:cat>
            <c:strRef>
              <c:f>Sheet1!$A$2:$A$5</c:f>
              <c:strCache>
                <c:ptCount val="3"/>
                <c:pt idx="0">
                  <c:v>第一产业</c:v>
                </c:pt>
                <c:pt idx="1">
                  <c:v>第二产业</c:v>
                </c:pt>
                <c:pt idx="2">
                  <c:v>第三产业</c:v>
                </c:pt>
              </c:strCache>
            </c:strRef>
          </c:cat>
          <c:val>
            <c:numRef>
              <c:f>Sheet1!$B$2:$B$5</c:f>
              <c:numCache>
                <c:formatCode>0.00%</c:formatCode>
                <c:ptCount val="4"/>
                <c:pt idx="0">
                  <c:v>0.262</c:v>
                </c:pt>
                <c:pt idx="1">
                  <c:v>0.323</c:v>
                </c:pt>
                <c:pt idx="2">
                  <c:v>0.415</c:v>
                </c:pt>
              </c:numCache>
            </c:numRef>
          </c:val>
        </c:ser>
        <c:dLbls>
          <c:showLegendKey val="0"/>
          <c:showVal val="0"/>
          <c:showCatName val="0"/>
          <c:showSerName val="0"/>
          <c:showPercent val="0"/>
          <c:showBubbleSize val="0"/>
          <c:showLeaderLines val="1"/>
        </c:dLbls>
        <c:firstSliceAng val="0"/>
      </c:pieChart>
      <c:spPr>
        <a:noFill/>
        <a:ln w="26323">
          <a:noFill/>
        </a:ln>
      </c:spPr>
    </c:plotArea>
    <c:legend>
      <c:legendPos val="b"/>
      <c:legendEntry>
        <c:idx val="3"/>
        <c:delete val="1"/>
      </c:legendEntry>
      <c:layout/>
      <c:overlay val="0"/>
      <c:spPr>
        <a:noFill/>
        <a:ln>
          <a:noFill/>
        </a:ln>
        <a:effectLst/>
      </c:spPr>
      <c:txPr>
        <a:bodyPr rot="0" spcFirstLastPara="1" vertOverflow="ellipsis" vert="horz" wrap="square" anchor="ctr" anchorCtr="1"/>
        <a:lstStyle/>
        <a:p>
          <a:pPr>
            <a:defRPr lang="zh-CN" sz="124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871" cap="flat" cmpd="sng" algn="ctr">
      <a:solidFill>
        <a:sysClr val="window" lastClr="FFFFFF"/>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436305-A770-41F9-942C-219C273B06B1}">
  <ds:schemaRefs/>
</ds:datastoreItem>
</file>

<file path=docProps/app.xml><?xml version="1.0" encoding="utf-8"?>
<Properties xmlns="http://schemas.openxmlformats.org/officeDocument/2006/extended-properties" xmlns:vt="http://schemas.openxmlformats.org/officeDocument/2006/docPropsVTypes">
  <Template>Normal</Template>
  <Company>0771-3399261</Company>
  <Pages>65</Pages>
  <Words>10732</Words>
  <Characters>61176</Characters>
  <Lines>509</Lines>
  <Paragraphs>143</Paragraphs>
  <TotalTime>77</TotalTime>
  <ScaleCrop>false</ScaleCrop>
  <LinksUpToDate>false</LinksUpToDate>
  <CharactersWithSpaces>71765</CharactersWithSpaces>
  <Application>WPS Office_11.8.2.12118_F1E327BC-269C-435d-A152-05C5408002CA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2019-10-11T08:19:00Z</dcterms:created>
  <dc:creator>Administrator.KM-20171211SIVX</dc:creator>
  <cp:lastModifiedBy>周洁</cp:lastModifiedBy>
  <cp:lastPrinted>2019-10-12T01:26:00Z</cp:lastPrinted>
  <dcterms:modified xsi:type="dcterms:W3CDTF">2024-02-20T08:19:01Z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2052-11.8.2.12118</vt:lpwstr>
  </property>
  <property fmtid="{D5CDD505-2E9C-101B-9397-08002B2CF9AE}" pid="3" name="ICV">
    <vt:lpwstr>8A92F98C69544865A591C8F46EBC28FA</vt:lpwstr>
  </property>
</Properties>
</file>