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firstLine="640"/>
        <w:jc w:val="center"/>
        <w:rPr>
          <w:rFonts w:hint="eastAsia" w:ascii="仿宋_GB2312" w:hAnsi="方正仿宋_GBK" w:eastAsia="仿宋_GB2312" w:cs="方正仿宋_GBK"/>
          <w:b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sz w:val="32"/>
          <w:szCs w:val="32"/>
        </w:rPr>
        <w:t>2021年兴安县城区历史建筑名单</w:t>
      </w:r>
    </w:p>
    <w:tbl>
      <w:tblPr>
        <w:tblStyle w:val="3"/>
        <w:tblpPr w:leftFromText="180" w:rightFromText="180" w:vertAnchor="text" w:horzAnchor="page" w:tblpX="1353" w:tblpY="103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129"/>
        <w:gridCol w:w="1390"/>
        <w:gridCol w:w="1418"/>
        <w:gridCol w:w="868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序号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历史建筑名称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地址（街巷门牌号）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建筑面积（平方米）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建筑年代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eastAsia="方正楷体_GBK"/>
                <w:b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/>
                <w:color w:val="000000"/>
                <w:sz w:val="24"/>
              </w:rPr>
              <w:t>历史建筑简介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1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县委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宣传部办公楼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4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该建筑位于兴安县县政府大院内，50至70年代建筑，砖木结构，大坡屋顶。在上个世纪50至70年代，前苏联建筑界以批判结构主义为名，打出了“社会主义的内容，民族的形式”的旗号，开始了建筑复古风潮。在“中苏友好”的国际形势下，我国开始在社会生活的各个方面都广泛借鉴前苏联模式。苏式建筑以民族风格的“大屋顶”代替哥特式尖顶的苏联建筑“中国化”，来表现“社会主义的内容，民族的形式”；特点是左右呈中轴对称，平面规矩，中间高两边低，主楼高耸，回廊宽缓伸展其次是有“三段式”结构，“三段”指的是檐部、墙身、勒脚三个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2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县委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组织部办公楼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49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3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县委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政法委办公楼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49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4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纪委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监委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办公楼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49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5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hAnsi="宋体" w:eastAsia="方正楷体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县政府大院离退休干部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活动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49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6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兴安县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政府大礼堂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兴安县三台路51号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49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7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南陡阁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兴安县灵渠北路灵渠景区内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位于灵渠景区内，1941年10月李宗仁先生参观灵渠时,指令当时兴安县政府在此建二层的观景阁一座,建成后由李宗仁先生命名为南陡阁,并亲笔撰写了阁名和对联一副:“南北关山展,陡流云汉横”。这座阁,当时登远眺,大小天平、铧嘴尽收眼底,美景一览无余。解放初,南陡阁已是破败,现在的南陡阁是中南局第一书记陶铸在1965年指示重建的,虽为一层,不能算阁,但为了纪念李宗仁先生,人们仍称之为南陡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8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hAnsi="宋体" w:eastAsia="方正楷体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佛音寺（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龙王庙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兴安县灵渠南路灵渠景区内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位于灵渠景区内，灵渠龙王庙在一千多年前的唐玄宗时期，以祭龙王之神、祭灵渠祖龙而建。原建在灵渠北分水的铧嘴坝上，宋朝大历年间全义县（今兴安县）山洪暴发冲毁了石堤，后人重建时迁至灵渠南陡岸边山脚下，祀奉“龙王、龙母神像”，现在成为灵源寺，建有天王殿，龙王庙祀奉的佛像有弥勒佛，娑婆世界的教主的释迦牟尼佛、西方极乐世界的教主阿弥陀佛、东方琉璃世界的教主药师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9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楷体_GBK" w:hAnsi="宋体" w:eastAsia="方正楷体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临源阁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兴安县灵渠南路灵渠景区内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位于灵渠景区内，紫红柱窗，白栏黄瓦，彩屏画檐，方形三层——这就是临渊阁。近临阁前，两块古色古香的联匾分挂门口的前后两柱，首先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映入眼帘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。进入阁堂，里面间赫然立一大屏，上书郭沫若先生龙飞凤舞的《游灵渠》手迹；旁有两柱，挂有每联长达110字的对联匾牌，堪称一绝。柱后是登楼旋梯。上到二层，阁的外围均有观景廊台，举目眺望，基本可见山外的远山近水，但毕竟有点“一叶障目”之憾——很多景致需穿过古松上端的枝叶才能看到。这就需要“欲穷千里目，更上一层楼”了。第三层是临渊阁可到的最高处。站在那儿，一览众山小，心胸豁然开朗，整个灵渠和兴安城区尽收眼底。现代南国乡土气息夹着悠悠古风迎面扑来，惬意极了。极目俯望，南流的灵渠和北去的湘江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像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一个巨大的艺术体“人”字写在大地，</w:t>
            </w:r>
            <w:r>
              <w:rPr>
                <w:rFonts w:hint="eastAsia" w:ascii="方正楷体_GBK" w:eastAsia="方正楷体_GBK"/>
                <w:color w:val="000000"/>
                <w:sz w:val="18"/>
                <w:szCs w:val="18"/>
                <w:lang w:eastAsia="zh-CN"/>
              </w:rPr>
              <w:t>意蕴</w:t>
            </w:r>
            <w:bookmarkStart w:id="0" w:name="_GoBack"/>
            <w:bookmarkEnd w:id="0"/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和谐生动；水光清透，又如古人抛下的两带绸缎，向美丽的兴安城区飘拂而去。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仿宋_GB2312"/>
                <w:sz w:val="18"/>
                <w:szCs w:val="18"/>
              </w:rPr>
            </w:pPr>
            <w:r>
              <w:rPr>
                <w:rFonts w:hint="eastAsia" w:ascii="方正仿宋_GBK" w:hAnsi="方正仿宋_GBK" w:eastAsia="仿宋_GB2312"/>
                <w:sz w:val="18"/>
                <w:szCs w:val="18"/>
              </w:rPr>
              <w:t>10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美龄亭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兴安县灵渠南路灵渠景区内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4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楷体_GBK" w:hAnsi="宋体" w:eastAsia="方正楷体_GBK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  <w:sz w:val="18"/>
                <w:szCs w:val="18"/>
              </w:rPr>
              <w:t>位于灵渠景区内，1941年8月，蒋介石偕夫人宋美龄游览了</w:t>
            </w:r>
            <w:r>
              <w:rPr>
                <w:rStyle w:val="5"/>
                <w:rFonts w:hint="default"/>
                <w:sz w:val="18"/>
                <w:szCs w:val="18"/>
              </w:rPr>
              <w:t>灵渠，后国民党兴安政府在铧嘴之上建亭一座，命名美龄亭以示纪念，这里</w:t>
            </w:r>
            <w:r>
              <w:rPr>
                <w:rStyle w:val="5"/>
                <w:rFonts w:hint="eastAsia"/>
                <w:sz w:val="18"/>
                <w:szCs w:val="18"/>
                <w:lang w:eastAsia="zh-CN"/>
              </w:rPr>
              <w:t>青山秀水</w:t>
            </w:r>
            <w:r>
              <w:rPr>
                <w:rStyle w:val="5"/>
                <w:rFonts w:hint="default"/>
                <w:sz w:val="18"/>
                <w:szCs w:val="18"/>
              </w:rPr>
              <w:t>，绿树成荫。</w:t>
            </w:r>
          </w:p>
        </w:tc>
      </w:tr>
    </w:tbl>
    <w:p>
      <w:pPr>
        <w:snapToGrid w:val="0"/>
        <w:spacing w:line="400" w:lineRule="exact"/>
        <w:jc w:val="both"/>
        <w:rPr>
          <w:rFonts w:hint="default" w:ascii="仿宋_GB2312" w:hAnsi="方正仿宋_GBK" w:eastAsia="仿宋_GB2312" w:cs="方正仿宋_GBK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GU1ZmMxMzJlODA1YWM0ZDIwNDllMWRjZDNhYWYifQ=="/>
  </w:docVars>
  <w:rsids>
    <w:rsidRoot w:val="55073B6E"/>
    <w:rsid w:val="059B5E16"/>
    <w:rsid w:val="05DC421B"/>
    <w:rsid w:val="0E344BF5"/>
    <w:rsid w:val="10FF266F"/>
    <w:rsid w:val="12DC3AAD"/>
    <w:rsid w:val="17E20329"/>
    <w:rsid w:val="18442823"/>
    <w:rsid w:val="1E3D42AB"/>
    <w:rsid w:val="1EC75D1B"/>
    <w:rsid w:val="20DD5ABC"/>
    <w:rsid w:val="23574F07"/>
    <w:rsid w:val="26F947D6"/>
    <w:rsid w:val="27D825ED"/>
    <w:rsid w:val="2C3E7F07"/>
    <w:rsid w:val="2DBE025B"/>
    <w:rsid w:val="2F9B27B8"/>
    <w:rsid w:val="347A0B5D"/>
    <w:rsid w:val="3FE23C01"/>
    <w:rsid w:val="47FB07A5"/>
    <w:rsid w:val="4CAA3CF8"/>
    <w:rsid w:val="4EB805B5"/>
    <w:rsid w:val="4FC6067D"/>
    <w:rsid w:val="53F26847"/>
    <w:rsid w:val="53FD4BD8"/>
    <w:rsid w:val="55073B6E"/>
    <w:rsid w:val="55886BA1"/>
    <w:rsid w:val="57461420"/>
    <w:rsid w:val="62533736"/>
    <w:rsid w:val="63A01501"/>
    <w:rsid w:val="67B0620F"/>
    <w:rsid w:val="683010FE"/>
    <w:rsid w:val="6A2627B9"/>
    <w:rsid w:val="6BBD539F"/>
    <w:rsid w:val="712437CA"/>
    <w:rsid w:val="76FC104F"/>
    <w:rsid w:val="7BA76BCA"/>
    <w:rsid w:val="7C590591"/>
    <w:rsid w:val="7C686C61"/>
    <w:rsid w:val="7D9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方正楷体_GBK" w:eastAsia="方正楷体_GBK"/>
      <w:color w:val="00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418</Characters>
  <Lines>0</Lines>
  <Paragraphs>0</Paragraphs>
  <TotalTime>10</TotalTime>
  <ScaleCrop>false</ScaleCrop>
  <LinksUpToDate>false</LinksUpToDate>
  <CharactersWithSpaces>421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2022-11-07T00:40:00Z</dcterms:created>
  <dc:creator>A sugar</dc:creator>
  <cp:lastModifiedBy>周洁</cp:lastModifiedBy>
  <dcterms:modified xsi:type="dcterms:W3CDTF">2023-01-30T09:27:50Z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0C0734E7A1024CF8A4B3AA518E7BEEEC</vt:lpwstr>
  </property>
</Properties>
</file>